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1ABFB" w14:textId="77777777" w:rsidR="004B5AD2" w:rsidRDefault="000B2C89" w:rsidP="00105A8A">
      <w:pPr>
        <w:jc w:val="center"/>
        <w:rPr>
          <w:b/>
        </w:rPr>
      </w:pPr>
      <w:bookmarkStart w:id="0" w:name="_GoBack"/>
      <w:bookmarkEnd w:id="0"/>
      <w:r w:rsidRPr="000B2C89">
        <w:rPr>
          <w:b/>
        </w:rPr>
        <w:t xml:space="preserve">MOHEGAN GAMING &amp; </w:t>
      </w:r>
      <w:r w:rsidR="004B5AD2" w:rsidRPr="000B2C89">
        <w:rPr>
          <w:b/>
        </w:rPr>
        <w:t>ENTERTAINMENT</w:t>
      </w:r>
    </w:p>
    <w:p w14:paraId="214F9EDE" w14:textId="77777777" w:rsidR="00105A8A" w:rsidRPr="00490C65" w:rsidRDefault="000B2C89" w:rsidP="00105A8A">
      <w:pPr>
        <w:jc w:val="center"/>
        <w:rPr>
          <w:b/>
        </w:rPr>
      </w:pPr>
      <w:r w:rsidRPr="00490C65">
        <w:rPr>
          <w:b/>
        </w:rPr>
        <w:t xml:space="preserve">ANNOUNCES </w:t>
      </w:r>
      <w:r w:rsidR="00CE1DBE">
        <w:rPr>
          <w:b/>
        </w:rPr>
        <w:t>SECOND</w:t>
      </w:r>
      <w:r w:rsidR="00CE1DBE" w:rsidRPr="00490C65">
        <w:rPr>
          <w:b/>
        </w:rPr>
        <w:t xml:space="preserve"> </w:t>
      </w:r>
      <w:r w:rsidR="00D87E14" w:rsidRPr="00490C65">
        <w:rPr>
          <w:b/>
        </w:rPr>
        <w:t>QUARTER</w:t>
      </w:r>
      <w:r w:rsidR="00865E44" w:rsidRPr="00490C65">
        <w:rPr>
          <w:b/>
        </w:rPr>
        <w:t xml:space="preserve"> FISCAL </w:t>
      </w:r>
      <w:r w:rsidR="00105A8A" w:rsidRPr="00490C65">
        <w:rPr>
          <w:b/>
        </w:rPr>
        <w:t>20</w:t>
      </w:r>
      <w:r w:rsidR="00EA3AF6">
        <w:rPr>
          <w:b/>
        </w:rPr>
        <w:t>21</w:t>
      </w:r>
      <w:r w:rsidR="00105A8A" w:rsidRPr="00490C65">
        <w:rPr>
          <w:b/>
        </w:rPr>
        <w:t xml:space="preserve"> OPERATING RESULTS</w:t>
      </w:r>
    </w:p>
    <w:p w14:paraId="068E6698" w14:textId="77777777" w:rsidR="00FB4238" w:rsidRPr="00490C65" w:rsidRDefault="00FB4238" w:rsidP="00266402">
      <w:pPr>
        <w:jc w:val="both"/>
        <w:rPr>
          <w:sz w:val="20"/>
          <w:szCs w:val="20"/>
        </w:rPr>
      </w:pPr>
    </w:p>
    <w:p w14:paraId="200294AF" w14:textId="77777777" w:rsidR="00871C03" w:rsidRPr="00490C65" w:rsidRDefault="00871C03" w:rsidP="00FB4238">
      <w:pPr>
        <w:jc w:val="both"/>
        <w:rPr>
          <w:sz w:val="20"/>
          <w:szCs w:val="20"/>
        </w:rPr>
      </w:pPr>
    </w:p>
    <w:p w14:paraId="1E0ED1A5" w14:textId="77777777" w:rsidR="00CE1DBE" w:rsidRPr="00313456" w:rsidRDefault="00CE1DBE" w:rsidP="00CE1DBE">
      <w:pPr>
        <w:jc w:val="both"/>
        <w:rPr>
          <w:bCs/>
          <w:sz w:val="20"/>
          <w:szCs w:val="20"/>
        </w:rPr>
      </w:pPr>
      <w:r w:rsidRPr="00490C65">
        <w:rPr>
          <w:sz w:val="20"/>
          <w:szCs w:val="20"/>
        </w:rPr>
        <w:t xml:space="preserve">Uncasville, Connecticut, </w:t>
      </w:r>
      <w:r w:rsidRPr="00CF3313">
        <w:rPr>
          <w:sz w:val="20"/>
          <w:szCs w:val="20"/>
        </w:rPr>
        <w:t xml:space="preserve">May </w:t>
      </w:r>
      <w:r w:rsidR="00BA15D6" w:rsidRPr="00CF3313">
        <w:rPr>
          <w:sz w:val="20"/>
          <w:szCs w:val="20"/>
        </w:rPr>
        <w:t>13</w:t>
      </w:r>
      <w:r w:rsidRPr="00CF3313">
        <w:rPr>
          <w:sz w:val="20"/>
          <w:szCs w:val="20"/>
        </w:rPr>
        <w:t xml:space="preserve">, 2021 – </w:t>
      </w:r>
      <w:r w:rsidRPr="00CF3313">
        <w:rPr>
          <w:bCs/>
          <w:sz w:val="20"/>
          <w:szCs w:val="20"/>
        </w:rPr>
        <w:t>Mohegan Gaming &amp; Entertainment (“MGE” or the “Company”), a master developer and operator of premier</w:t>
      </w:r>
      <w:r w:rsidRPr="005F5228">
        <w:rPr>
          <w:bCs/>
          <w:sz w:val="20"/>
          <w:szCs w:val="20"/>
        </w:rPr>
        <w:t xml:space="preserve"> global integrated entertainment resorts, including Mohegan Sun in </w:t>
      </w:r>
      <w:r w:rsidRPr="00313456">
        <w:rPr>
          <w:bCs/>
          <w:sz w:val="20"/>
          <w:szCs w:val="20"/>
        </w:rPr>
        <w:t xml:space="preserve">Uncasville, Connecticut, </w:t>
      </w:r>
      <w:r w:rsidRPr="00313456">
        <w:rPr>
          <w:sz w:val="20"/>
          <w:szCs w:val="20"/>
        </w:rPr>
        <w:t>Mohegan Sun Pocono in Plains Township, Pennsylvania, the MGE Niagara Resorts in Niagara Falls, Canada</w:t>
      </w:r>
      <w:r>
        <w:rPr>
          <w:sz w:val="20"/>
          <w:szCs w:val="20"/>
        </w:rPr>
        <w:t>, the Mohegan Sun Casino at Virgin Hotels Las Vegas</w:t>
      </w:r>
      <w:r w:rsidRPr="00313456">
        <w:rPr>
          <w:sz w:val="20"/>
          <w:szCs w:val="20"/>
        </w:rPr>
        <w:t xml:space="preserve"> </w:t>
      </w:r>
      <w:r w:rsidR="005157DD">
        <w:rPr>
          <w:sz w:val="20"/>
          <w:szCs w:val="20"/>
        </w:rPr>
        <w:t xml:space="preserve">in Nevada </w:t>
      </w:r>
      <w:r w:rsidRPr="00313456">
        <w:rPr>
          <w:sz w:val="20"/>
          <w:szCs w:val="20"/>
        </w:rPr>
        <w:t>and</w:t>
      </w:r>
      <w:r w:rsidRPr="00313456">
        <w:rPr>
          <w:rStyle w:val="strongchar"/>
          <w:color w:val="000000"/>
          <w:sz w:val="20"/>
          <w:szCs w:val="20"/>
        </w:rPr>
        <w:t xml:space="preserve"> INSPIRE Entertainment Resort</w:t>
      </w:r>
      <w:r w:rsidRPr="00313456">
        <w:rPr>
          <w:bCs/>
          <w:sz w:val="20"/>
          <w:szCs w:val="20"/>
        </w:rPr>
        <w:t xml:space="preserve"> in Incheon, South Korea, </w:t>
      </w:r>
      <w:r w:rsidR="005157DD">
        <w:rPr>
          <w:bCs/>
          <w:sz w:val="20"/>
          <w:szCs w:val="20"/>
        </w:rPr>
        <w:t xml:space="preserve">today </w:t>
      </w:r>
      <w:r w:rsidRPr="00313456">
        <w:rPr>
          <w:bCs/>
          <w:sz w:val="20"/>
          <w:szCs w:val="20"/>
        </w:rPr>
        <w:t>announced operating results for its</w:t>
      </w:r>
      <w:r w:rsidRPr="00313456">
        <w:rPr>
          <w:sz w:val="20"/>
          <w:szCs w:val="20"/>
        </w:rPr>
        <w:t xml:space="preserve"> </w:t>
      </w:r>
      <w:r w:rsidR="00F9555C">
        <w:rPr>
          <w:sz w:val="20"/>
          <w:szCs w:val="20"/>
        </w:rPr>
        <w:t>second</w:t>
      </w:r>
      <w:r w:rsidR="00F9555C" w:rsidRPr="00313456">
        <w:rPr>
          <w:sz w:val="20"/>
          <w:szCs w:val="20"/>
        </w:rPr>
        <w:t xml:space="preserve"> </w:t>
      </w:r>
      <w:r w:rsidRPr="00313456">
        <w:rPr>
          <w:sz w:val="20"/>
          <w:szCs w:val="20"/>
        </w:rPr>
        <w:t xml:space="preserve">fiscal quarter ended </w:t>
      </w:r>
      <w:r>
        <w:rPr>
          <w:sz w:val="20"/>
          <w:szCs w:val="20"/>
        </w:rPr>
        <w:t>March</w:t>
      </w:r>
      <w:r w:rsidRPr="00313456">
        <w:rPr>
          <w:sz w:val="20"/>
          <w:szCs w:val="20"/>
        </w:rPr>
        <w:t xml:space="preserve"> 3</w:t>
      </w:r>
      <w:r>
        <w:rPr>
          <w:sz w:val="20"/>
          <w:szCs w:val="20"/>
        </w:rPr>
        <w:t>1</w:t>
      </w:r>
      <w:r w:rsidRPr="00313456">
        <w:rPr>
          <w:sz w:val="20"/>
          <w:szCs w:val="20"/>
        </w:rPr>
        <w:t>, 202</w:t>
      </w:r>
      <w:r>
        <w:rPr>
          <w:sz w:val="20"/>
          <w:szCs w:val="20"/>
        </w:rPr>
        <w:t>1</w:t>
      </w:r>
      <w:r w:rsidRPr="00313456">
        <w:rPr>
          <w:sz w:val="20"/>
          <w:szCs w:val="20"/>
        </w:rPr>
        <w:t>.</w:t>
      </w:r>
    </w:p>
    <w:p w14:paraId="398D7923" w14:textId="77777777" w:rsidR="00CE1DBE" w:rsidRDefault="00CE1DBE" w:rsidP="00CE1DBE">
      <w:pPr>
        <w:jc w:val="both"/>
        <w:rPr>
          <w:bCs/>
          <w:sz w:val="20"/>
          <w:szCs w:val="20"/>
        </w:rPr>
      </w:pPr>
    </w:p>
    <w:p w14:paraId="036D1786" w14:textId="77777777" w:rsidR="00795AEC" w:rsidRDefault="00795AEC" w:rsidP="00CE1DBE">
      <w:pPr>
        <w:jc w:val="both"/>
        <w:rPr>
          <w:b/>
          <w:bCs/>
          <w:sz w:val="20"/>
          <w:szCs w:val="20"/>
        </w:rPr>
      </w:pPr>
    </w:p>
    <w:p w14:paraId="0B2C2110" w14:textId="1F814883" w:rsidR="00795AEC" w:rsidRDefault="00795AEC" w:rsidP="00CE1DBE">
      <w:pPr>
        <w:jc w:val="both"/>
        <w:rPr>
          <w:bCs/>
          <w:sz w:val="20"/>
          <w:szCs w:val="20"/>
        </w:rPr>
      </w:pPr>
      <w:r w:rsidRPr="00CC55E1">
        <w:rPr>
          <w:b/>
          <w:bCs/>
          <w:sz w:val="20"/>
          <w:szCs w:val="20"/>
        </w:rPr>
        <w:t xml:space="preserve">MGE </w:t>
      </w:r>
      <w:r w:rsidR="00BD7127">
        <w:rPr>
          <w:b/>
          <w:bCs/>
          <w:sz w:val="20"/>
          <w:szCs w:val="20"/>
        </w:rPr>
        <w:t xml:space="preserve">Operating </w:t>
      </w:r>
      <w:r>
        <w:rPr>
          <w:b/>
          <w:bCs/>
          <w:sz w:val="20"/>
          <w:szCs w:val="20"/>
        </w:rPr>
        <w:t>Results</w:t>
      </w:r>
    </w:p>
    <w:p w14:paraId="36FD0AD3" w14:textId="4744087C" w:rsidR="00795AEC" w:rsidRDefault="00816AB2" w:rsidP="00CE1DBE">
      <w:pPr>
        <w:jc w:val="both"/>
        <w:rPr>
          <w:bCs/>
          <w:sz w:val="20"/>
          <w:szCs w:val="20"/>
        </w:rPr>
      </w:pPr>
      <w:r w:rsidRPr="00816AB2">
        <w:rPr>
          <w:bCs/>
          <w:sz w:val="20"/>
          <w:szCs w:val="20"/>
        </w:rPr>
        <w:t xml:space="preserve"> </w:t>
      </w:r>
      <w:r w:rsidRPr="00816AB2">
        <w:rPr>
          <w:noProof/>
        </w:rPr>
        <w:drawing>
          <wp:inline distT="0" distB="0" distL="0" distR="0" wp14:anchorId="18D7F37B" wp14:editId="66AEF710">
            <wp:extent cx="5943600" cy="150068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500685"/>
                    </a:xfrm>
                    <a:prstGeom prst="rect">
                      <a:avLst/>
                    </a:prstGeom>
                    <a:noFill/>
                    <a:ln>
                      <a:noFill/>
                    </a:ln>
                  </pic:spPr>
                </pic:pic>
              </a:graphicData>
            </a:graphic>
          </wp:inline>
        </w:drawing>
      </w:r>
    </w:p>
    <w:p w14:paraId="24951A58" w14:textId="77777777" w:rsidR="00AB14FC" w:rsidRDefault="00AB14FC" w:rsidP="00CE1DBE">
      <w:pPr>
        <w:jc w:val="both"/>
        <w:rPr>
          <w:bCs/>
          <w:sz w:val="20"/>
          <w:szCs w:val="20"/>
        </w:rPr>
      </w:pPr>
    </w:p>
    <w:p w14:paraId="072065B5" w14:textId="77777777" w:rsidR="00795AEC" w:rsidRDefault="00795AEC" w:rsidP="00CE1DBE">
      <w:pPr>
        <w:jc w:val="both"/>
        <w:rPr>
          <w:bCs/>
          <w:sz w:val="20"/>
          <w:szCs w:val="20"/>
        </w:rPr>
      </w:pPr>
    </w:p>
    <w:p w14:paraId="00EA8C07" w14:textId="3B8197F8" w:rsidR="005157DD" w:rsidRDefault="00CE1DBE" w:rsidP="00CE1DBE">
      <w:pPr>
        <w:jc w:val="both"/>
        <w:rPr>
          <w:bCs/>
          <w:sz w:val="20"/>
          <w:szCs w:val="20"/>
        </w:rPr>
      </w:pPr>
      <w:r w:rsidRPr="001542D9">
        <w:rPr>
          <w:bCs/>
          <w:sz w:val="20"/>
          <w:szCs w:val="20"/>
        </w:rPr>
        <w:t>“</w:t>
      </w:r>
      <w:r>
        <w:rPr>
          <w:bCs/>
          <w:sz w:val="20"/>
          <w:szCs w:val="20"/>
        </w:rPr>
        <w:t xml:space="preserve">The March quarter was important in the evolution of MGE, as we opened the </w:t>
      </w:r>
      <w:r w:rsidRPr="00614AA3">
        <w:rPr>
          <w:bCs/>
          <w:sz w:val="20"/>
          <w:szCs w:val="20"/>
        </w:rPr>
        <w:t>Mohegan Sun Casino at Virgin Hotels Las Vegas</w:t>
      </w:r>
      <w:r>
        <w:rPr>
          <w:bCs/>
          <w:sz w:val="20"/>
          <w:szCs w:val="20"/>
        </w:rPr>
        <w:t xml:space="preserve"> – representing MGE’s latest expansion and entry in the </w:t>
      </w:r>
      <w:r w:rsidR="005157DD">
        <w:rPr>
          <w:bCs/>
          <w:sz w:val="20"/>
          <w:szCs w:val="20"/>
        </w:rPr>
        <w:t xml:space="preserve">significant </w:t>
      </w:r>
      <w:r>
        <w:rPr>
          <w:bCs/>
          <w:sz w:val="20"/>
          <w:szCs w:val="20"/>
        </w:rPr>
        <w:t xml:space="preserve">Las Vegas market,” </w:t>
      </w:r>
      <w:r w:rsidRPr="001542D9">
        <w:rPr>
          <w:bCs/>
          <w:sz w:val="20"/>
          <w:szCs w:val="20"/>
        </w:rPr>
        <w:t xml:space="preserve">said </w:t>
      </w:r>
      <w:r>
        <w:rPr>
          <w:bCs/>
          <w:sz w:val="20"/>
          <w:szCs w:val="20"/>
        </w:rPr>
        <w:t>Raymond Pin</w:t>
      </w:r>
      <w:r w:rsidR="00E66FF2">
        <w:rPr>
          <w:bCs/>
          <w:sz w:val="20"/>
          <w:szCs w:val="20"/>
        </w:rPr>
        <w:t>e</w:t>
      </w:r>
      <w:r>
        <w:rPr>
          <w:bCs/>
          <w:sz w:val="20"/>
          <w:szCs w:val="20"/>
        </w:rPr>
        <w:t>ault</w:t>
      </w:r>
      <w:r w:rsidRPr="001542D9">
        <w:rPr>
          <w:bCs/>
          <w:sz w:val="20"/>
          <w:szCs w:val="20"/>
        </w:rPr>
        <w:t xml:space="preserve">, </w:t>
      </w:r>
      <w:r w:rsidR="00E44AB7">
        <w:rPr>
          <w:bCs/>
          <w:sz w:val="20"/>
          <w:szCs w:val="20"/>
        </w:rPr>
        <w:t>I</w:t>
      </w:r>
      <w:r w:rsidR="00E66FF2">
        <w:rPr>
          <w:bCs/>
          <w:sz w:val="20"/>
          <w:szCs w:val="20"/>
        </w:rPr>
        <w:t>nterim</w:t>
      </w:r>
      <w:r w:rsidRPr="001542D9">
        <w:rPr>
          <w:bCs/>
          <w:sz w:val="20"/>
          <w:szCs w:val="20"/>
        </w:rPr>
        <w:t xml:space="preserve"> Chief Executive Officer.</w:t>
      </w:r>
      <w:r>
        <w:rPr>
          <w:bCs/>
          <w:sz w:val="20"/>
          <w:szCs w:val="20"/>
        </w:rPr>
        <w:t xml:space="preserve"> “Continuing the trend of firsts, MGE, in partnersh</w:t>
      </w:r>
      <w:r w:rsidR="00E66FF2">
        <w:rPr>
          <w:bCs/>
          <w:sz w:val="20"/>
          <w:szCs w:val="20"/>
        </w:rPr>
        <w:t xml:space="preserve">ip with the </w:t>
      </w:r>
      <w:r w:rsidR="00F9555C">
        <w:rPr>
          <w:bCs/>
          <w:sz w:val="20"/>
          <w:szCs w:val="20"/>
        </w:rPr>
        <w:t xml:space="preserve">Governor of the </w:t>
      </w:r>
      <w:r w:rsidR="00E66FF2">
        <w:rPr>
          <w:bCs/>
          <w:sz w:val="20"/>
          <w:szCs w:val="20"/>
        </w:rPr>
        <w:t>S</w:t>
      </w:r>
      <w:r>
        <w:rPr>
          <w:bCs/>
          <w:sz w:val="20"/>
          <w:szCs w:val="20"/>
        </w:rPr>
        <w:t xml:space="preserve">tate of Connecticut and </w:t>
      </w:r>
      <w:r w:rsidR="007C6D70">
        <w:rPr>
          <w:bCs/>
          <w:sz w:val="20"/>
          <w:szCs w:val="20"/>
        </w:rPr>
        <w:t xml:space="preserve">the </w:t>
      </w:r>
      <w:r w:rsidRPr="00614AA3">
        <w:rPr>
          <w:bCs/>
          <w:sz w:val="20"/>
          <w:szCs w:val="20"/>
        </w:rPr>
        <w:t>Mashantucket Pequot</w:t>
      </w:r>
      <w:r w:rsidR="00F9555C">
        <w:rPr>
          <w:bCs/>
          <w:sz w:val="20"/>
          <w:szCs w:val="20"/>
        </w:rPr>
        <w:t xml:space="preserve"> Tribe</w:t>
      </w:r>
      <w:r w:rsidR="007C6D70">
        <w:rPr>
          <w:bCs/>
          <w:sz w:val="20"/>
          <w:szCs w:val="20"/>
        </w:rPr>
        <w:t>,</w:t>
      </w:r>
      <w:r>
        <w:rPr>
          <w:bCs/>
          <w:sz w:val="20"/>
          <w:szCs w:val="20"/>
        </w:rPr>
        <w:t xml:space="preserve"> reached an agreement to allow </w:t>
      </w:r>
      <w:r w:rsidRPr="00614AA3">
        <w:rPr>
          <w:bCs/>
          <w:sz w:val="20"/>
          <w:szCs w:val="20"/>
        </w:rPr>
        <w:t xml:space="preserve">online </w:t>
      </w:r>
      <w:r w:rsidR="00980B6F">
        <w:rPr>
          <w:bCs/>
          <w:sz w:val="20"/>
          <w:szCs w:val="20"/>
        </w:rPr>
        <w:t>gaming</w:t>
      </w:r>
      <w:r w:rsidR="00980B6F" w:rsidRPr="00614AA3">
        <w:rPr>
          <w:bCs/>
          <w:sz w:val="20"/>
          <w:szCs w:val="20"/>
        </w:rPr>
        <w:t xml:space="preserve"> </w:t>
      </w:r>
      <w:r w:rsidRPr="00614AA3">
        <w:rPr>
          <w:bCs/>
          <w:sz w:val="20"/>
          <w:szCs w:val="20"/>
        </w:rPr>
        <w:t>and retail and mobile sports betting</w:t>
      </w:r>
      <w:r>
        <w:rPr>
          <w:bCs/>
          <w:sz w:val="20"/>
          <w:szCs w:val="20"/>
        </w:rPr>
        <w:t xml:space="preserve">, </w:t>
      </w:r>
      <w:r w:rsidR="00F9555C">
        <w:rPr>
          <w:bCs/>
          <w:sz w:val="20"/>
          <w:szCs w:val="20"/>
        </w:rPr>
        <w:t xml:space="preserve">which </w:t>
      </w:r>
      <w:r w:rsidR="00B256F9">
        <w:rPr>
          <w:bCs/>
          <w:sz w:val="20"/>
          <w:szCs w:val="20"/>
        </w:rPr>
        <w:t>when approved by the Connecticut Legislat</w:t>
      </w:r>
      <w:r w:rsidR="00E44AB7">
        <w:rPr>
          <w:bCs/>
          <w:sz w:val="20"/>
          <w:szCs w:val="20"/>
        </w:rPr>
        <w:t>ure</w:t>
      </w:r>
      <w:r w:rsidR="00B256F9">
        <w:rPr>
          <w:bCs/>
          <w:sz w:val="20"/>
          <w:szCs w:val="20"/>
        </w:rPr>
        <w:t xml:space="preserve">, </w:t>
      </w:r>
      <w:r w:rsidR="00F9555C">
        <w:rPr>
          <w:bCs/>
          <w:sz w:val="20"/>
          <w:szCs w:val="20"/>
        </w:rPr>
        <w:t xml:space="preserve">would expand </w:t>
      </w:r>
      <w:r>
        <w:rPr>
          <w:bCs/>
          <w:sz w:val="20"/>
          <w:szCs w:val="20"/>
        </w:rPr>
        <w:t>MGE’s online footprint while providing further diversification to our business</w:t>
      </w:r>
      <w:r w:rsidRPr="00614AA3">
        <w:rPr>
          <w:bCs/>
          <w:sz w:val="20"/>
          <w:szCs w:val="20"/>
        </w:rPr>
        <w:t>.</w:t>
      </w:r>
      <w:r>
        <w:rPr>
          <w:bCs/>
          <w:sz w:val="20"/>
          <w:szCs w:val="20"/>
        </w:rPr>
        <w:t xml:space="preserve"> </w:t>
      </w:r>
      <w:r w:rsidR="008605B4">
        <w:rPr>
          <w:bCs/>
          <w:sz w:val="20"/>
          <w:szCs w:val="20"/>
        </w:rPr>
        <w:t xml:space="preserve">Additionally, late in the quarter, MGE’s INSPIRE project in Incheon, South Korea received an important </w:t>
      </w:r>
      <w:r w:rsidR="008605B4" w:rsidRPr="00F63A0E">
        <w:rPr>
          <w:bCs/>
          <w:sz w:val="20"/>
          <w:szCs w:val="20"/>
        </w:rPr>
        <w:t>approval from South Korea’s Ministry of Culture, Sport</w:t>
      </w:r>
      <w:r w:rsidR="008605B4">
        <w:rPr>
          <w:bCs/>
          <w:sz w:val="20"/>
          <w:szCs w:val="20"/>
        </w:rPr>
        <w:t>s</w:t>
      </w:r>
      <w:r w:rsidR="008605B4" w:rsidRPr="00F63A0E">
        <w:rPr>
          <w:bCs/>
          <w:sz w:val="20"/>
          <w:szCs w:val="20"/>
        </w:rPr>
        <w:t xml:space="preserve"> and Tourism</w:t>
      </w:r>
      <w:r w:rsidR="00BD7127">
        <w:rPr>
          <w:bCs/>
          <w:sz w:val="20"/>
          <w:szCs w:val="20"/>
        </w:rPr>
        <w:t>,</w:t>
      </w:r>
      <w:r w:rsidR="008605B4" w:rsidRPr="00F63A0E">
        <w:rPr>
          <w:bCs/>
          <w:sz w:val="20"/>
          <w:szCs w:val="20"/>
        </w:rPr>
        <w:t xml:space="preserve"> </w:t>
      </w:r>
      <w:r w:rsidR="008605B4">
        <w:rPr>
          <w:bCs/>
          <w:sz w:val="20"/>
          <w:szCs w:val="20"/>
        </w:rPr>
        <w:t xml:space="preserve">clearing the path to </w:t>
      </w:r>
      <w:r w:rsidR="001456AC">
        <w:rPr>
          <w:bCs/>
          <w:sz w:val="20"/>
          <w:szCs w:val="20"/>
        </w:rPr>
        <w:t xml:space="preserve">obtain </w:t>
      </w:r>
      <w:r w:rsidR="008605B4">
        <w:rPr>
          <w:bCs/>
          <w:sz w:val="20"/>
          <w:szCs w:val="20"/>
        </w:rPr>
        <w:t>financing for the project.”</w:t>
      </w:r>
    </w:p>
    <w:p w14:paraId="410A8FA8" w14:textId="77777777" w:rsidR="005157DD" w:rsidRDefault="005157DD" w:rsidP="00CE1DBE">
      <w:pPr>
        <w:jc w:val="both"/>
        <w:rPr>
          <w:bCs/>
          <w:sz w:val="20"/>
          <w:szCs w:val="20"/>
        </w:rPr>
      </w:pPr>
    </w:p>
    <w:p w14:paraId="4D35F2D4" w14:textId="727E0E47" w:rsidR="00CE1DBE" w:rsidRDefault="00BE6BCE" w:rsidP="00CE1DBE">
      <w:pPr>
        <w:jc w:val="both"/>
        <w:rPr>
          <w:bCs/>
          <w:sz w:val="20"/>
          <w:szCs w:val="20"/>
        </w:rPr>
      </w:pPr>
      <w:r>
        <w:rPr>
          <w:bCs/>
          <w:sz w:val="20"/>
          <w:szCs w:val="20"/>
        </w:rPr>
        <w:t>Additionally, Carol Ander</w:t>
      </w:r>
      <w:r w:rsidR="00CD7AB3">
        <w:rPr>
          <w:bCs/>
          <w:sz w:val="20"/>
          <w:szCs w:val="20"/>
        </w:rPr>
        <w:t>son, C</w:t>
      </w:r>
      <w:r>
        <w:rPr>
          <w:bCs/>
          <w:sz w:val="20"/>
          <w:szCs w:val="20"/>
        </w:rPr>
        <w:t xml:space="preserve">hief </w:t>
      </w:r>
      <w:r w:rsidR="00CD7AB3">
        <w:rPr>
          <w:bCs/>
          <w:sz w:val="20"/>
          <w:szCs w:val="20"/>
        </w:rPr>
        <w:t>F</w:t>
      </w:r>
      <w:r>
        <w:rPr>
          <w:bCs/>
          <w:sz w:val="20"/>
          <w:szCs w:val="20"/>
        </w:rPr>
        <w:t xml:space="preserve">inancial </w:t>
      </w:r>
      <w:r w:rsidR="00CD7AB3">
        <w:rPr>
          <w:bCs/>
          <w:sz w:val="20"/>
          <w:szCs w:val="20"/>
        </w:rPr>
        <w:t>O</w:t>
      </w:r>
      <w:r>
        <w:rPr>
          <w:bCs/>
          <w:sz w:val="20"/>
          <w:szCs w:val="20"/>
        </w:rPr>
        <w:t>fficer</w:t>
      </w:r>
      <w:r w:rsidR="008605B4">
        <w:rPr>
          <w:bCs/>
          <w:sz w:val="20"/>
          <w:szCs w:val="20"/>
        </w:rPr>
        <w:t xml:space="preserve"> of the Company</w:t>
      </w:r>
      <w:r>
        <w:rPr>
          <w:bCs/>
          <w:sz w:val="20"/>
          <w:szCs w:val="20"/>
        </w:rPr>
        <w:t xml:space="preserve"> noted</w:t>
      </w:r>
      <w:r w:rsidR="005157DD">
        <w:rPr>
          <w:bCs/>
          <w:sz w:val="20"/>
          <w:szCs w:val="20"/>
        </w:rPr>
        <w:t>,</w:t>
      </w:r>
      <w:r>
        <w:rPr>
          <w:bCs/>
          <w:sz w:val="20"/>
          <w:szCs w:val="20"/>
        </w:rPr>
        <w:t xml:space="preserve"> </w:t>
      </w:r>
      <w:r w:rsidR="00E44AB7">
        <w:rPr>
          <w:bCs/>
          <w:sz w:val="20"/>
          <w:szCs w:val="20"/>
        </w:rPr>
        <w:t>“I</w:t>
      </w:r>
      <w:r w:rsidR="00F9555C">
        <w:rPr>
          <w:bCs/>
          <w:sz w:val="20"/>
          <w:szCs w:val="20"/>
        </w:rPr>
        <w:t>n</w:t>
      </w:r>
      <w:r w:rsidR="00CE1DBE" w:rsidRPr="00003BFB">
        <w:rPr>
          <w:bCs/>
          <w:sz w:val="20"/>
          <w:szCs w:val="20"/>
        </w:rPr>
        <w:t xml:space="preserve"> </w:t>
      </w:r>
      <w:r w:rsidR="00E44AB7">
        <w:rPr>
          <w:bCs/>
          <w:sz w:val="20"/>
          <w:szCs w:val="20"/>
        </w:rPr>
        <w:t>the United States</w:t>
      </w:r>
      <w:r w:rsidR="00CE1DBE" w:rsidRPr="00003BFB">
        <w:rPr>
          <w:bCs/>
          <w:sz w:val="20"/>
          <w:szCs w:val="20"/>
        </w:rPr>
        <w:t xml:space="preserve">, our </w:t>
      </w:r>
      <w:r w:rsidR="00E44AB7">
        <w:rPr>
          <w:bCs/>
          <w:sz w:val="20"/>
          <w:szCs w:val="20"/>
        </w:rPr>
        <w:t>properties</w:t>
      </w:r>
      <w:r w:rsidR="00E44AB7" w:rsidRPr="00003BFB">
        <w:rPr>
          <w:bCs/>
          <w:sz w:val="20"/>
          <w:szCs w:val="20"/>
        </w:rPr>
        <w:t xml:space="preserve"> </w:t>
      </w:r>
      <w:r w:rsidR="00CE1DBE" w:rsidRPr="00003BFB">
        <w:rPr>
          <w:bCs/>
          <w:sz w:val="20"/>
          <w:szCs w:val="20"/>
        </w:rPr>
        <w:t xml:space="preserve">have continued to recover, as the rate of vaccinations </w:t>
      </w:r>
      <w:r w:rsidR="005157DD">
        <w:rPr>
          <w:bCs/>
          <w:sz w:val="20"/>
          <w:szCs w:val="20"/>
        </w:rPr>
        <w:t>increases</w:t>
      </w:r>
      <w:r w:rsidR="005157DD" w:rsidRPr="00003BFB">
        <w:rPr>
          <w:bCs/>
          <w:sz w:val="20"/>
          <w:szCs w:val="20"/>
        </w:rPr>
        <w:t xml:space="preserve"> </w:t>
      </w:r>
      <w:r w:rsidR="00CE1DBE" w:rsidRPr="00003BFB">
        <w:rPr>
          <w:bCs/>
          <w:sz w:val="20"/>
          <w:szCs w:val="20"/>
        </w:rPr>
        <w:t xml:space="preserve">and states </w:t>
      </w:r>
      <w:r w:rsidR="005157DD">
        <w:rPr>
          <w:bCs/>
          <w:sz w:val="20"/>
          <w:szCs w:val="20"/>
        </w:rPr>
        <w:t xml:space="preserve">continue to </w:t>
      </w:r>
      <w:r w:rsidR="00CE1DBE" w:rsidRPr="00003BFB">
        <w:rPr>
          <w:bCs/>
          <w:sz w:val="20"/>
          <w:szCs w:val="20"/>
        </w:rPr>
        <w:t xml:space="preserve">ease some </w:t>
      </w:r>
      <w:r w:rsidR="00E66FF2">
        <w:rPr>
          <w:bCs/>
          <w:sz w:val="20"/>
          <w:szCs w:val="20"/>
        </w:rPr>
        <w:t>COVID</w:t>
      </w:r>
      <w:r w:rsidR="00F9555C">
        <w:rPr>
          <w:bCs/>
          <w:sz w:val="20"/>
          <w:szCs w:val="20"/>
        </w:rPr>
        <w:t>-</w:t>
      </w:r>
      <w:r w:rsidR="00E44AB7">
        <w:rPr>
          <w:bCs/>
          <w:sz w:val="20"/>
          <w:szCs w:val="20"/>
        </w:rPr>
        <w:t xml:space="preserve">related </w:t>
      </w:r>
      <w:r w:rsidR="00CE1DBE" w:rsidRPr="00003BFB">
        <w:rPr>
          <w:bCs/>
          <w:sz w:val="20"/>
          <w:szCs w:val="20"/>
        </w:rPr>
        <w:t xml:space="preserve">restrictions. At our flagship property Mohegan Sun, while revenues were below </w:t>
      </w:r>
      <w:r w:rsidR="007C6D70">
        <w:rPr>
          <w:bCs/>
          <w:sz w:val="20"/>
          <w:szCs w:val="20"/>
        </w:rPr>
        <w:t>second quarter 2019</w:t>
      </w:r>
      <w:r w:rsidR="00CE1DBE" w:rsidRPr="00003BFB">
        <w:rPr>
          <w:bCs/>
          <w:sz w:val="20"/>
          <w:szCs w:val="20"/>
        </w:rPr>
        <w:t xml:space="preserve"> levels, </w:t>
      </w:r>
      <w:r w:rsidR="007C6D70">
        <w:rPr>
          <w:bCs/>
          <w:sz w:val="20"/>
          <w:szCs w:val="20"/>
        </w:rPr>
        <w:t xml:space="preserve">which is </w:t>
      </w:r>
      <w:r w:rsidR="00CE1DBE" w:rsidRPr="00003BFB">
        <w:rPr>
          <w:bCs/>
          <w:sz w:val="20"/>
          <w:szCs w:val="20"/>
        </w:rPr>
        <w:t xml:space="preserve">the </w:t>
      </w:r>
      <w:r w:rsidR="005157DD">
        <w:rPr>
          <w:bCs/>
          <w:sz w:val="20"/>
          <w:szCs w:val="20"/>
        </w:rPr>
        <w:t>closest</w:t>
      </w:r>
      <w:r w:rsidR="005157DD" w:rsidRPr="00003BFB">
        <w:rPr>
          <w:bCs/>
          <w:sz w:val="20"/>
          <w:szCs w:val="20"/>
        </w:rPr>
        <w:t xml:space="preserve"> </w:t>
      </w:r>
      <w:r w:rsidR="00CE1DBE" w:rsidRPr="00003BFB">
        <w:rPr>
          <w:bCs/>
          <w:sz w:val="20"/>
          <w:szCs w:val="20"/>
        </w:rPr>
        <w:t>comparable due to pr</w:t>
      </w:r>
      <w:r w:rsidR="00E66FF2">
        <w:rPr>
          <w:bCs/>
          <w:sz w:val="20"/>
          <w:szCs w:val="20"/>
        </w:rPr>
        <w:t xml:space="preserve">operty closures in </w:t>
      </w:r>
      <w:r w:rsidR="007C6D70">
        <w:rPr>
          <w:bCs/>
          <w:sz w:val="20"/>
          <w:szCs w:val="20"/>
        </w:rPr>
        <w:t>the second quarter of 2020,</w:t>
      </w:r>
      <w:r w:rsidR="00CE1DBE" w:rsidRPr="00003BFB">
        <w:rPr>
          <w:bCs/>
          <w:sz w:val="20"/>
          <w:szCs w:val="20"/>
        </w:rPr>
        <w:t xml:space="preserve"> </w:t>
      </w:r>
      <w:r w:rsidR="00D165C2">
        <w:rPr>
          <w:bCs/>
          <w:sz w:val="20"/>
          <w:szCs w:val="20"/>
        </w:rPr>
        <w:t>A</w:t>
      </w:r>
      <w:r w:rsidR="00CE1DBE" w:rsidRPr="00003BFB">
        <w:rPr>
          <w:bCs/>
          <w:sz w:val="20"/>
          <w:szCs w:val="20"/>
        </w:rPr>
        <w:t xml:space="preserve">djusted </w:t>
      </w:r>
      <w:r w:rsidR="00455D5A">
        <w:rPr>
          <w:bCs/>
          <w:sz w:val="20"/>
          <w:szCs w:val="20"/>
        </w:rPr>
        <w:t xml:space="preserve">EBITDA </w:t>
      </w:r>
      <w:r w:rsidR="00CD7AB3">
        <w:rPr>
          <w:bCs/>
          <w:sz w:val="20"/>
          <w:szCs w:val="20"/>
        </w:rPr>
        <w:t xml:space="preserve">was </w:t>
      </w:r>
      <w:r w:rsidR="0065611B">
        <w:rPr>
          <w:bCs/>
          <w:sz w:val="20"/>
          <w:szCs w:val="20"/>
        </w:rPr>
        <w:t>$</w:t>
      </w:r>
      <w:r w:rsidR="00566447">
        <w:rPr>
          <w:bCs/>
          <w:sz w:val="20"/>
          <w:szCs w:val="20"/>
        </w:rPr>
        <w:t>70.0</w:t>
      </w:r>
      <w:r w:rsidR="0065611B">
        <w:rPr>
          <w:bCs/>
          <w:sz w:val="20"/>
          <w:szCs w:val="20"/>
        </w:rPr>
        <w:t xml:space="preserve"> million</w:t>
      </w:r>
      <w:r w:rsidR="00CD7AB3">
        <w:rPr>
          <w:bCs/>
          <w:sz w:val="20"/>
          <w:szCs w:val="20"/>
        </w:rPr>
        <w:t>,</w:t>
      </w:r>
      <w:r w:rsidR="0065611B">
        <w:rPr>
          <w:bCs/>
          <w:sz w:val="20"/>
          <w:szCs w:val="20"/>
        </w:rPr>
        <w:t xml:space="preserve"> </w:t>
      </w:r>
      <w:r w:rsidR="00685DE5">
        <w:rPr>
          <w:bCs/>
          <w:sz w:val="20"/>
          <w:szCs w:val="20"/>
        </w:rPr>
        <w:t>17.9%</w:t>
      </w:r>
      <w:r w:rsidR="008C7CA0">
        <w:rPr>
          <w:bCs/>
          <w:sz w:val="20"/>
          <w:szCs w:val="20"/>
        </w:rPr>
        <w:t xml:space="preserve"> favorable to</w:t>
      </w:r>
      <w:r w:rsidR="0065611B">
        <w:rPr>
          <w:bCs/>
          <w:sz w:val="20"/>
          <w:szCs w:val="20"/>
        </w:rPr>
        <w:t xml:space="preserve"> </w:t>
      </w:r>
      <w:r w:rsidR="008605B4">
        <w:rPr>
          <w:bCs/>
          <w:sz w:val="20"/>
          <w:szCs w:val="20"/>
        </w:rPr>
        <w:t>the second quarter of 2019</w:t>
      </w:r>
      <w:r w:rsidR="0065611B">
        <w:rPr>
          <w:bCs/>
          <w:sz w:val="20"/>
          <w:szCs w:val="20"/>
        </w:rPr>
        <w:t xml:space="preserve">, </w:t>
      </w:r>
      <w:r w:rsidR="007B4A00" w:rsidRPr="00006866">
        <w:rPr>
          <w:bCs/>
          <w:sz w:val="20"/>
          <w:szCs w:val="20"/>
        </w:rPr>
        <w:t xml:space="preserve">while </w:t>
      </w:r>
      <w:r w:rsidR="00CD7AB3" w:rsidRPr="00006866">
        <w:rPr>
          <w:bCs/>
          <w:sz w:val="20"/>
          <w:szCs w:val="20"/>
        </w:rPr>
        <w:t xml:space="preserve">EBITDA </w:t>
      </w:r>
      <w:r w:rsidR="00455D5A" w:rsidRPr="00006866">
        <w:rPr>
          <w:bCs/>
          <w:sz w:val="20"/>
          <w:szCs w:val="20"/>
        </w:rPr>
        <w:t>margin</w:t>
      </w:r>
      <w:r w:rsidR="00685DE5">
        <w:rPr>
          <w:bCs/>
          <w:sz w:val="20"/>
          <w:szCs w:val="20"/>
        </w:rPr>
        <w:t xml:space="preserve"> was</w:t>
      </w:r>
      <w:r w:rsidR="00455D5A" w:rsidRPr="00006866">
        <w:rPr>
          <w:bCs/>
          <w:sz w:val="20"/>
          <w:szCs w:val="20"/>
        </w:rPr>
        <w:t xml:space="preserve"> up </w:t>
      </w:r>
      <w:r w:rsidR="00685DE5">
        <w:rPr>
          <w:bCs/>
          <w:sz w:val="20"/>
          <w:szCs w:val="20"/>
        </w:rPr>
        <w:t>1,212</w:t>
      </w:r>
      <w:r w:rsidR="007B4A00" w:rsidRPr="00006866">
        <w:rPr>
          <w:bCs/>
          <w:sz w:val="20"/>
          <w:szCs w:val="20"/>
        </w:rPr>
        <w:t xml:space="preserve"> </w:t>
      </w:r>
      <w:r w:rsidR="00CE1DBE" w:rsidRPr="00006866">
        <w:rPr>
          <w:bCs/>
          <w:sz w:val="20"/>
          <w:szCs w:val="20"/>
        </w:rPr>
        <w:t xml:space="preserve">bps </w:t>
      </w:r>
      <w:r w:rsidR="00455D5A" w:rsidRPr="00006866">
        <w:rPr>
          <w:bCs/>
          <w:sz w:val="20"/>
          <w:szCs w:val="20"/>
        </w:rPr>
        <w:t xml:space="preserve">over </w:t>
      </w:r>
      <w:r w:rsidR="00CE1DBE" w:rsidRPr="00006866">
        <w:rPr>
          <w:bCs/>
          <w:sz w:val="20"/>
          <w:szCs w:val="20"/>
        </w:rPr>
        <w:t>the same period</w:t>
      </w:r>
      <w:r w:rsidR="00CE1DBE" w:rsidRPr="00003BFB">
        <w:rPr>
          <w:bCs/>
          <w:sz w:val="20"/>
          <w:szCs w:val="20"/>
        </w:rPr>
        <w:t xml:space="preserve">. Outside of Connecticut, performance at </w:t>
      </w:r>
      <w:r w:rsidR="008605B4">
        <w:rPr>
          <w:bCs/>
          <w:sz w:val="20"/>
          <w:szCs w:val="20"/>
        </w:rPr>
        <w:t>i</w:t>
      </w:r>
      <w:r w:rsidR="00CE1DBE" w:rsidRPr="00003BFB">
        <w:rPr>
          <w:bCs/>
          <w:sz w:val="20"/>
          <w:szCs w:val="20"/>
        </w:rPr>
        <w:t xml:space="preserve">lani in Washington </w:t>
      </w:r>
      <w:r w:rsidR="00455D5A">
        <w:rPr>
          <w:bCs/>
          <w:sz w:val="20"/>
          <w:szCs w:val="20"/>
        </w:rPr>
        <w:t xml:space="preserve">State continues to surpass </w:t>
      </w:r>
      <w:r w:rsidR="00CE1DBE" w:rsidRPr="00003BFB">
        <w:rPr>
          <w:bCs/>
          <w:sz w:val="20"/>
          <w:szCs w:val="20"/>
        </w:rPr>
        <w:t xml:space="preserve">expectations, while </w:t>
      </w:r>
      <w:r w:rsidR="00FC078B">
        <w:rPr>
          <w:bCs/>
          <w:sz w:val="20"/>
          <w:szCs w:val="20"/>
        </w:rPr>
        <w:t xml:space="preserve">Mohegan Sun </w:t>
      </w:r>
      <w:r w:rsidR="00CE1DBE" w:rsidRPr="00003BFB">
        <w:rPr>
          <w:bCs/>
          <w:sz w:val="20"/>
          <w:szCs w:val="20"/>
        </w:rPr>
        <w:t xml:space="preserve">Pocono and Resorts are seeing positive sequential momentum. Finally, we </w:t>
      </w:r>
      <w:r>
        <w:rPr>
          <w:bCs/>
          <w:sz w:val="20"/>
          <w:szCs w:val="20"/>
        </w:rPr>
        <w:t xml:space="preserve">look forward to reopening </w:t>
      </w:r>
      <w:r w:rsidR="00546268">
        <w:rPr>
          <w:bCs/>
          <w:sz w:val="20"/>
          <w:szCs w:val="20"/>
        </w:rPr>
        <w:t>the MGE</w:t>
      </w:r>
      <w:r w:rsidR="00546268" w:rsidRPr="00003BFB">
        <w:rPr>
          <w:bCs/>
          <w:sz w:val="20"/>
          <w:szCs w:val="20"/>
        </w:rPr>
        <w:t xml:space="preserve"> </w:t>
      </w:r>
      <w:r w:rsidR="00CE1DBE" w:rsidRPr="00003BFB">
        <w:rPr>
          <w:bCs/>
          <w:sz w:val="20"/>
          <w:szCs w:val="20"/>
        </w:rPr>
        <w:t>Niagara</w:t>
      </w:r>
      <w:r>
        <w:rPr>
          <w:bCs/>
          <w:sz w:val="20"/>
          <w:szCs w:val="20"/>
        </w:rPr>
        <w:t xml:space="preserve"> </w:t>
      </w:r>
      <w:r w:rsidR="00546268">
        <w:rPr>
          <w:bCs/>
          <w:sz w:val="20"/>
          <w:szCs w:val="20"/>
        </w:rPr>
        <w:t xml:space="preserve">Resorts </w:t>
      </w:r>
      <w:r>
        <w:rPr>
          <w:bCs/>
          <w:sz w:val="20"/>
          <w:szCs w:val="20"/>
        </w:rPr>
        <w:t xml:space="preserve">as </w:t>
      </w:r>
      <w:r w:rsidR="00BA15D6">
        <w:rPr>
          <w:bCs/>
          <w:sz w:val="20"/>
          <w:szCs w:val="20"/>
        </w:rPr>
        <w:t xml:space="preserve">soon we are given </w:t>
      </w:r>
      <w:r w:rsidR="00E44AB7">
        <w:rPr>
          <w:bCs/>
          <w:sz w:val="20"/>
          <w:szCs w:val="20"/>
        </w:rPr>
        <w:t>approval from the government</w:t>
      </w:r>
      <w:r w:rsidR="00BA15D6">
        <w:rPr>
          <w:bCs/>
          <w:sz w:val="20"/>
          <w:szCs w:val="20"/>
        </w:rPr>
        <w:t>.</w:t>
      </w:r>
      <w:r w:rsidR="00CE1DBE" w:rsidRPr="00003BFB">
        <w:rPr>
          <w:bCs/>
          <w:sz w:val="20"/>
          <w:szCs w:val="20"/>
        </w:rPr>
        <w:t>”</w:t>
      </w:r>
    </w:p>
    <w:p w14:paraId="29B1894E" w14:textId="77777777" w:rsidR="00CE1DBE" w:rsidRDefault="00CE1DBE" w:rsidP="00CE1DBE"/>
    <w:p w14:paraId="1AED4A75" w14:textId="77777777" w:rsidR="00BA15D6" w:rsidRPr="00635F57" w:rsidRDefault="00BA15D6" w:rsidP="00BA15D6">
      <w:pPr>
        <w:jc w:val="both"/>
        <w:rPr>
          <w:bCs/>
          <w:sz w:val="20"/>
          <w:szCs w:val="20"/>
        </w:rPr>
      </w:pPr>
      <w:r w:rsidRPr="00635F57">
        <w:rPr>
          <w:bCs/>
          <w:sz w:val="20"/>
          <w:szCs w:val="20"/>
        </w:rPr>
        <w:t xml:space="preserve">Selected consolidated operating results for the </w:t>
      </w:r>
      <w:r>
        <w:rPr>
          <w:bCs/>
          <w:sz w:val="20"/>
          <w:szCs w:val="20"/>
        </w:rPr>
        <w:t>second</w:t>
      </w:r>
      <w:r w:rsidRPr="00635F57">
        <w:rPr>
          <w:bCs/>
          <w:sz w:val="20"/>
          <w:szCs w:val="20"/>
        </w:rPr>
        <w:t xml:space="preserve"> quarter ended </w:t>
      </w:r>
      <w:r>
        <w:rPr>
          <w:bCs/>
          <w:sz w:val="20"/>
          <w:szCs w:val="20"/>
        </w:rPr>
        <w:t>March 31, 2021</w:t>
      </w:r>
      <w:r w:rsidRPr="00635F57">
        <w:rPr>
          <w:bCs/>
          <w:sz w:val="20"/>
          <w:szCs w:val="20"/>
        </w:rPr>
        <w:t xml:space="preserve"> and prior year period (unaudited):</w:t>
      </w:r>
    </w:p>
    <w:p w14:paraId="1C4E2B2B" w14:textId="77777777" w:rsidR="00BA15D6" w:rsidRPr="00635F57" w:rsidRDefault="00BA15D6" w:rsidP="00BA15D6">
      <w:pPr>
        <w:pStyle w:val="ListParagraph"/>
        <w:numPr>
          <w:ilvl w:val="0"/>
          <w:numId w:val="5"/>
        </w:numPr>
        <w:jc w:val="both"/>
        <w:rPr>
          <w:bCs/>
          <w:sz w:val="20"/>
          <w:szCs w:val="20"/>
        </w:rPr>
      </w:pPr>
      <w:r w:rsidRPr="00635F57">
        <w:rPr>
          <w:bCs/>
          <w:sz w:val="20"/>
          <w:szCs w:val="20"/>
        </w:rPr>
        <w:t>Net revenues of $</w:t>
      </w:r>
      <w:r>
        <w:rPr>
          <w:bCs/>
          <w:sz w:val="20"/>
          <w:szCs w:val="20"/>
        </w:rPr>
        <w:t>278.6</w:t>
      </w:r>
      <w:r w:rsidRPr="00635F57">
        <w:rPr>
          <w:bCs/>
          <w:sz w:val="20"/>
          <w:szCs w:val="20"/>
        </w:rPr>
        <w:t xml:space="preserve"> million vs. $</w:t>
      </w:r>
      <w:r>
        <w:rPr>
          <w:bCs/>
          <w:sz w:val="20"/>
          <w:szCs w:val="20"/>
        </w:rPr>
        <w:t>314.7</w:t>
      </w:r>
      <w:r w:rsidRPr="00635F57">
        <w:rPr>
          <w:bCs/>
          <w:sz w:val="20"/>
          <w:szCs w:val="20"/>
        </w:rPr>
        <w:t xml:space="preserve"> million in the prior year period, a</w:t>
      </w:r>
      <w:r>
        <w:rPr>
          <w:bCs/>
          <w:sz w:val="20"/>
          <w:szCs w:val="20"/>
        </w:rPr>
        <w:t>n</w:t>
      </w:r>
      <w:r w:rsidRPr="00635F57">
        <w:rPr>
          <w:bCs/>
          <w:sz w:val="20"/>
          <w:szCs w:val="20"/>
        </w:rPr>
        <w:t xml:space="preserve"> </w:t>
      </w:r>
      <w:r>
        <w:rPr>
          <w:bCs/>
          <w:sz w:val="20"/>
          <w:szCs w:val="20"/>
        </w:rPr>
        <w:t>11.5</w:t>
      </w:r>
      <w:r w:rsidRPr="00635F57">
        <w:rPr>
          <w:bCs/>
          <w:sz w:val="20"/>
          <w:szCs w:val="20"/>
        </w:rPr>
        <w:t>% decrease;</w:t>
      </w:r>
    </w:p>
    <w:p w14:paraId="7DDAE117" w14:textId="7818A26E" w:rsidR="00BA15D6" w:rsidRPr="00681AB1" w:rsidRDefault="00BA15D6" w:rsidP="00BA15D6">
      <w:pPr>
        <w:pStyle w:val="ListParagraph"/>
        <w:numPr>
          <w:ilvl w:val="0"/>
          <w:numId w:val="5"/>
        </w:numPr>
        <w:jc w:val="both"/>
        <w:rPr>
          <w:bCs/>
          <w:sz w:val="20"/>
          <w:szCs w:val="20"/>
        </w:rPr>
      </w:pPr>
      <w:r w:rsidRPr="00635F57">
        <w:rPr>
          <w:bCs/>
          <w:sz w:val="20"/>
          <w:szCs w:val="20"/>
        </w:rPr>
        <w:t>Income from operations of $</w:t>
      </w:r>
      <w:r>
        <w:rPr>
          <w:bCs/>
          <w:sz w:val="20"/>
          <w:szCs w:val="20"/>
        </w:rPr>
        <w:t>44.9 million vs. loss</w:t>
      </w:r>
      <w:r w:rsidRPr="00635F57">
        <w:rPr>
          <w:bCs/>
          <w:sz w:val="20"/>
          <w:szCs w:val="20"/>
        </w:rPr>
        <w:t xml:space="preserve"> from operations of $</w:t>
      </w:r>
      <w:r>
        <w:rPr>
          <w:bCs/>
          <w:sz w:val="20"/>
          <w:szCs w:val="20"/>
        </w:rPr>
        <w:t>106.3</w:t>
      </w:r>
      <w:r w:rsidRPr="00635F57">
        <w:rPr>
          <w:bCs/>
          <w:sz w:val="20"/>
          <w:szCs w:val="20"/>
        </w:rPr>
        <w:t xml:space="preserve"> million</w:t>
      </w:r>
      <w:r>
        <w:rPr>
          <w:bCs/>
          <w:sz w:val="20"/>
          <w:szCs w:val="20"/>
        </w:rPr>
        <w:t xml:space="preserve"> </w:t>
      </w:r>
      <w:r w:rsidRPr="00681AB1">
        <w:rPr>
          <w:bCs/>
          <w:sz w:val="20"/>
          <w:szCs w:val="20"/>
        </w:rPr>
        <w:t>in the prior year period</w:t>
      </w:r>
      <w:r w:rsidR="00BD7127">
        <w:rPr>
          <w:bCs/>
          <w:sz w:val="20"/>
          <w:szCs w:val="20"/>
        </w:rPr>
        <w:t>,</w:t>
      </w:r>
      <w:r w:rsidR="009D27B9" w:rsidRPr="009D27B9">
        <w:rPr>
          <w:sz w:val="20"/>
          <w:szCs w:val="20"/>
          <w:highlight w:val="yellow"/>
        </w:rPr>
        <w:t xml:space="preserve"> </w:t>
      </w:r>
      <w:r w:rsidR="009D27B9" w:rsidRPr="005923A0">
        <w:rPr>
          <w:sz w:val="20"/>
          <w:szCs w:val="20"/>
        </w:rPr>
        <w:t>due primarily to a $126.6</w:t>
      </w:r>
      <w:r w:rsidR="009D27B9">
        <w:rPr>
          <w:sz w:val="20"/>
          <w:szCs w:val="20"/>
        </w:rPr>
        <w:t xml:space="preserve"> </w:t>
      </w:r>
      <w:r w:rsidR="009D27B9" w:rsidRPr="00392E9C">
        <w:rPr>
          <w:sz w:val="20"/>
          <w:szCs w:val="20"/>
        </w:rPr>
        <w:t>m</w:t>
      </w:r>
      <w:r w:rsidR="009D27B9">
        <w:rPr>
          <w:sz w:val="20"/>
          <w:szCs w:val="20"/>
        </w:rPr>
        <w:t>illion</w:t>
      </w:r>
      <w:r w:rsidR="009D27B9" w:rsidRPr="00392E9C">
        <w:rPr>
          <w:sz w:val="20"/>
          <w:szCs w:val="20"/>
        </w:rPr>
        <w:t xml:space="preserve"> impairment charge at Mohegan Sun Pocono</w:t>
      </w:r>
      <w:r w:rsidRPr="009D27B9">
        <w:rPr>
          <w:bCs/>
          <w:sz w:val="20"/>
          <w:szCs w:val="20"/>
        </w:rPr>
        <w:t>; an</w:t>
      </w:r>
      <w:r w:rsidRPr="00681AB1">
        <w:rPr>
          <w:bCs/>
          <w:sz w:val="20"/>
          <w:szCs w:val="20"/>
        </w:rPr>
        <w:t>d</w:t>
      </w:r>
    </w:p>
    <w:p w14:paraId="50FA32B4" w14:textId="3FADB761" w:rsidR="00BA15D6" w:rsidRPr="00635F57" w:rsidRDefault="00BA15D6" w:rsidP="00BA15D6">
      <w:pPr>
        <w:pStyle w:val="ListParagraph"/>
        <w:numPr>
          <w:ilvl w:val="0"/>
          <w:numId w:val="5"/>
        </w:numPr>
        <w:jc w:val="both"/>
        <w:rPr>
          <w:bCs/>
          <w:sz w:val="20"/>
          <w:szCs w:val="20"/>
        </w:rPr>
      </w:pPr>
      <w:r w:rsidRPr="00635F57">
        <w:rPr>
          <w:bCs/>
          <w:sz w:val="20"/>
          <w:szCs w:val="20"/>
        </w:rPr>
        <w:t>Adjusted EBITDA of $</w:t>
      </w:r>
      <w:r>
        <w:rPr>
          <w:bCs/>
          <w:sz w:val="20"/>
          <w:szCs w:val="20"/>
        </w:rPr>
        <w:t>80.7</w:t>
      </w:r>
      <w:r w:rsidRPr="00635F57">
        <w:rPr>
          <w:bCs/>
          <w:sz w:val="20"/>
          <w:szCs w:val="20"/>
        </w:rPr>
        <w:t xml:space="preserve"> million vs. $</w:t>
      </w:r>
      <w:r>
        <w:rPr>
          <w:bCs/>
          <w:sz w:val="20"/>
          <w:szCs w:val="20"/>
        </w:rPr>
        <w:t>51.3</w:t>
      </w:r>
      <w:r w:rsidRPr="00635F57">
        <w:rPr>
          <w:bCs/>
          <w:sz w:val="20"/>
          <w:szCs w:val="20"/>
        </w:rPr>
        <w:t xml:space="preserve"> million in the prior year period, a </w:t>
      </w:r>
      <w:r>
        <w:rPr>
          <w:bCs/>
          <w:sz w:val="20"/>
          <w:szCs w:val="20"/>
        </w:rPr>
        <w:t>57.</w:t>
      </w:r>
      <w:r w:rsidR="00816AB2">
        <w:rPr>
          <w:bCs/>
          <w:sz w:val="20"/>
          <w:szCs w:val="20"/>
        </w:rPr>
        <w:t>3</w:t>
      </w:r>
      <w:r>
        <w:rPr>
          <w:bCs/>
          <w:sz w:val="20"/>
          <w:szCs w:val="20"/>
        </w:rPr>
        <w:t>% increase</w:t>
      </w:r>
      <w:r w:rsidRPr="00635F57">
        <w:rPr>
          <w:bCs/>
          <w:sz w:val="20"/>
          <w:szCs w:val="20"/>
        </w:rPr>
        <w:t>.</w:t>
      </w:r>
    </w:p>
    <w:p w14:paraId="29780D44" w14:textId="77777777" w:rsidR="00BA15D6" w:rsidRDefault="00BA15D6" w:rsidP="00CE1DBE">
      <w:pPr>
        <w:jc w:val="both"/>
        <w:rPr>
          <w:bCs/>
          <w:sz w:val="20"/>
          <w:szCs w:val="20"/>
        </w:rPr>
      </w:pPr>
    </w:p>
    <w:p w14:paraId="7DA1B66D" w14:textId="59762246" w:rsidR="00635F57" w:rsidRDefault="00431132" w:rsidP="00FC5A5A">
      <w:pPr>
        <w:jc w:val="both"/>
        <w:rPr>
          <w:bCs/>
          <w:sz w:val="20"/>
          <w:szCs w:val="20"/>
        </w:rPr>
      </w:pPr>
      <w:r>
        <w:rPr>
          <w:bCs/>
          <w:sz w:val="20"/>
          <w:szCs w:val="20"/>
        </w:rPr>
        <w:t xml:space="preserve">The </w:t>
      </w:r>
      <w:r w:rsidR="008605B4">
        <w:rPr>
          <w:bCs/>
          <w:sz w:val="20"/>
          <w:szCs w:val="20"/>
        </w:rPr>
        <w:t>Company’s second quarter of 2021</w:t>
      </w:r>
      <w:r w:rsidR="005157DD">
        <w:rPr>
          <w:bCs/>
          <w:sz w:val="20"/>
          <w:szCs w:val="20"/>
        </w:rPr>
        <w:t xml:space="preserve"> results</w:t>
      </w:r>
      <w:r w:rsidR="00CE1DBE">
        <w:rPr>
          <w:bCs/>
          <w:sz w:val="20"/>
          <w:szCs w:val="20"/>
        </w:rPr>
        <w:t xml:space="preserve"> </w:t>
      </w:r>
      <w:r>
        <w:rPr>
          <w:bCs/>
          <w:sz w:val="20"/>
          <w:szCs w:val="20"/>
        </w:rPr>
        <w:t>were against</w:t>
      </w:r>
      <w:r w:rsidR="00CE1DBE">
        <w:rPr>
          <w:bCs/>
          <w:sz w:val="20"/>
          <w:szCs w:val="20"/>
        </w:rPr>
        <w:t xml:space="preserve"> easier comparisons due </w:t>
      </w:r>
      <w:r w:rsidR="00455D5A">
        <w:rPr>
          <w:bCs/>
          <w:sz w:val="20"/>
          <w:szCs w:val="20"/>
        </w:rPr>
        <w:t>to company</w:t>
      </w:r>
      <w:r w:rsidR="00F9555C">
        <w:rPr>
          <w:bCs/>
          <w:sz w:val="20"/>
          <w:szCs w:val="20"/>
        </w:rPr>
        <w:t>-</w:t>
      </w:r>
      <w:r w:rsidR="00455D5A">
        <w:rPr>
          <w:bCs/>
          <w:sz w:val="20"/>
          <w:szCs w:val="20"/>
        </w:rPr>
        <w:t xml:space="preserve">wide </w:t>
      </w:r>
      <w:r w:rsidR="00CE1DBE">
        <w:rPr>
          <w:bCs/>
          <w:sz w:val="20"/>
          <w:szCs w:val="20"/>
        </w:rPr>
        <w:t>COVID-19 related property closures</w:t>
      </w:r>
      <w:r w:rsidR="00455D5A">
        <w:rPr>
          <w:bCs/>
          <w:sz w:val="20"/>
          <w:szCs w:val="20"/>
        </w:rPr>
        <w:t xml:space="preserve"> in the comparable prior</w:t>
      </w:r>
      <w:r w:rsidR="005157DD">
        <w:rPr>
          <w:bCs/>
          <w:sz w:val="20"/>
          <w:szCs w:val="20"/>
        </w:rPr>
        <w:t>-</w:t>
      </w:r>
      <w:r w:rsidR="00455D5A">
        <w:rPr>
          <w:bCs/>
          <w:sz w:val="20"/>
          <w:szCs w:val="20"/>
        </w:rPr>
        <w:t xml:space="preserve">year quarter. </w:t>
      </w:r>
      <w:r w:rsidR="00CE1DBE">
        <w:rPr>
          <w:bCs/>
          <w:sz w:val="20"/>
          <w:szCs w:val="20"/>
        </w:rPr>
        <w:t>When compared to</w:t>
      </w:r>
      <w:r w:rsidR="008605B4">
        <w:rPr>
          <w:bCs/>
          <w:sz w:val="20"/>
          <w:szCs w:val="20"/>
        </w:rPr>
        <w:t xml:space="preserve"> the second quarter of 2019</w:t>
      </w:r>
      <w:r w:rsidR="00CE1DBE">
        <w:rPr>
          <w:bCs/>
          <w:sz w:val="20"/>
          <w:szCs w:val="20"/>
        </w:rPr>
        <w:t>, con</w:t>
      </w:r>
      <w:r w:rsidR="00CC0887">
        <w:rPr>
          <w:bCs/>
          <w:sz w:val="20"/>
          <w:szCs w:val="20"/>
        </w:rPr>
        <w:t>solidated net revenues declined</w:t>
      </w:r>
      <w:r w:rsidR="00CE1DBE">
        <w:rPr>
          <w:bCs/>
          <w:sz w:val="20"/>
          <w:szCs w:val="20"/>
        </w:rPr>
        <w:t xml:space="preserve"> </w:t>
      </w:r>
      <w:r w:rsidR="00EC398E">
        <w:rPr>
          <w:bCs/>
          <w:sz w:val="20"/>
          <w:szCs w:val="20"/>
        </w:rPr>
        <w:t>9.4</w:t>
      </w:r>
      <w:r w:rsidR="00CE1DBE">
        <w:rPr>
          <w:bCs/>
          <w:sz w:val="20"/>
          <w:szCs w:val="20"/>
        </w:rPr>
        <w:t>%</w:t>
      </w:r>
      <w:r w:rsidR="00CD7AB3">
        <w:rPr>
          <w:bCs/>
          <w:sz w:val="20"/>
          <w:szCs w:val="20"/>
        </w:rPr>
        <w:t xml:space="preserve">, while </w:t>
      </w:r>
      <w:r w:rsidR="00FC5A5A">
        <w:rPr>
          <w:bCs/>
          <w:sz w:val="20"/>
          <w:szCs w:val="20"/>
        </w:rPr>
        <w:t xml:space="preserve">Adjusted </w:t>
      </w:r>
      <w:r>
        <w:rPr>
          <w:bCs/>
          <w:sz w:val="20"/>
          <w:szCs w:val="20"/>
        </w:rPr>
        <w:t xml:space="preserve">EBITDA </w:t>
      </w:r>
      <w:r w:rsidR="00CD7AB3">
        <w:rPr>
          <w:bCs/>
          <w:sz w:val="20"/>
          <w:szCs w:val="20"/>
        </w:rPr>
        <w:t xml:space="preserve">increased </w:t>
      </w:r>
      <w:r w:rsidR="005048BC">
        <w:rPr>
          <w:bCs/>
          <w:sz w:val="20"/>
          <w:szCs w:val="20"/>
        </w:rPr>
        <w:t>20.</w:t>
      </w:r>
      <w:r w:rsidR="002C4E33">
        <w:rPr>
          <w:bCs/>
          <w:sz w:val="20"/>
          <w:szCs w:val="20"/>
        </w:rPr>
        <w:t>1</w:t>
      </w:r>
      <w:r w:rsidRPr="00EC398E">
        <w:rPr>
          <w:bCs/>
          <w:sz w:val="20"/>
          <w:szCs w:val="20"/>
        </w:rPr>
        <w:t>%</w:t>
      </w:r>
      <w:r w:rsidR="00CC0887" w:rsidRPr="00EC398E">
        <w:rPr>
          <w:bCs/>
          <w:sz w:val="20"/>
          <w:szCs w:val="20"/>
        </w:rPr>
        <w:t>,</w:t>
      </w:r>
      <w:r w:rsidR="00CE1DBE">
        <w:rPr>
          <w:bCs/>
          <w:sz w:val="20"/>
          <w:szCs w:val="20"/>
        </w:rPr>
        <w:t xml:space="preserve"> driven by</w:t>
      </w:r>
      <w:r w:rsidR="00CD7AB3">
        <w:rPr>
          <w:bCs/>
          <w:sz w:val="20"/>
          <w:szCs w:val="20"/>
        </w:rPr>
        <w:t xml:space="preserve"> reductions in operating costs and expenses, including </w:t>
      </w:r>
      <w:r w:rsidR="00CD7AB3" w:rsidRPr="00310A3C">
        <w:rPr>
          <w:bCs/>
          <w:sz w:val="20"/>
          <w:szCs w:val="20"/>
        </w:rPr>
        <w:t>lower</w:t>
      </w:r>
      <w:r w:rsidR="00CD7AB3">
        <w:rPr>
          <w:bCs/>
          <w:sz w:val="20"/>
          <w:szCs w:val="20"/>
        </w:rPr>
        <w:t xml:space="preserve"> </w:t>
      </w:r>
      <w:r w:rsidR="00CD7AB3" w:rsidRPr="00310A3C">
        <w:rPr>
          <w:bCs/>
          <w:sz w:val="20"/>
          <w:szCs w:val="20"/>
        </w:rPr>
        <w:t xml:space="preserve">payroll </w:t>
      </w:r>
      <w:r w:rsidR="00CD7AB3">
        <w:rPr>
          <w:bCs/>
          <w:sz w:val="20"/>
          <w:szCs w:val="20"/>
        </w:rPr>
        <w:t xml:space="preserve">costs </w:t>
      </w:r>
      <w:r w:rsidR="00CD7AB3" w:rsidRPr="00310A3C">
        <w:rPr>
          <w:bCs/>
          <w:sz w:val="20"/>
          <w:szCs w:val="20"/>
        </w:rPr>
        <w:t>and marketing expenses</w:t>
      </w:r>
      <w:r w:rsidR="00CD7AB3">
        <w:rPr>
          <w:bCs/>
          <w:sz w:val="20"/>
          <w:szCs w:val="20"/>
        </w:rPr>
        <w:t>. These benefits were partially offset by</w:t>
      </w:r>
      <w:r w:rsidR="00455D5A">
        <w:rPr>
          <w:bCs/>
          <w:sz w:val="20"/>
          <w:szCs w:val="20"/>
        </w:rPr>
        <w:t xml:space="preserve"> </w:t>
      </w:r>
      <w:r w:rsidR="00E44AB7">
        <w:rPr>
          <w:bCs/>
          <w:sz w:val="20"/>
          <w:szCs w:val="20"/>
        </w:rPr>
        <w:t xml:space="preserve">the </w:t>
      </w:r>
      <w:r w:rsidR="00455D5A">
        <w:rPr>
          <w:bCs/>
          <w:sz w:val="20"/>
          <w:szCs w:val="20"/>
        </w:rPr>
        <w:t xml:space="preserve">continued COVID-19 related closure of </w:t>
      </w:r>
      <w:r w:rsidR="00455D5A" w:rsidRPr="00313456">
        <w:rPr>
          <w:sz w:val="20"/>
          <w:szCs w:val="20"/>
        </w:rPr>
        <w:t>MGE Niagara Resorts</w:t>
      </w:r>
      <w:r w:rsidR="00455D5A">
        <w:rPr>
          <w:bCs/>
          <w:sz w:val="20"/>
          <w:szCs w:val="20"/>
        </w:rPr>
        <w:t xml:space="preserve"> and state</w:t>
      </w:r>
      <w:r w:rsidR="005157DD">
        <w:rPr>
          <w:bCs/>
          <w:sz w:val="20"/>
          <w:szCs w:val="20"/>
        </w:rPr>
        <w:t>-</w:t>
      </w:r>
      <w:r w:rsidR="00455D5A">
        <w:rPr>
          <w:bCs/>
          <w:sz w:val="20"/>
          <w:szCs w:val="20"/>
        </w:rPr>
        <w:t xml:space="preserve">mandated social distancing protocols at </w:t>
      </w:r>
      <w:r w:rsidR="008605B4">
        <w:rPr>
          <w:bCs/>
          <w:sz w:val="20"/>
          <w:szCs w:val="20"/>
        </w:rPr>
        <w:t xml:space="preserve">the </w:t>
      </w:r>
      <w:r w:rsidR="00BD7127">
        <w:rPr>
          <w:bCs/>
          <w:sz w:val="20"/>
          <w:szCs w:val="20"/>
        </w:rPr>
        <w:t>C</w:t>
      </w:r>
      <w:r w:rsidR="008605B4">
        <w:rPr>
          <w:bCs/>
          <w:sz w:val="20"/>
          <w:szCs w:val="20"/>
        </w:rPr>
        <w:t>ompany’s</w:t>
      </w:r>
      <w:r w:rsidR="00455D5A">
        <w:rPr>
          <w:bCs/>
          <w:sz w:val="20"/>
          <w:szCs w:val="20"/>
        </w:rPr>
        <w:t xml:space="preserve"> other properties</w:t>
      </w:r>
      <w:r w:rsidR="007B2F2B">
        <w:rPr>
          <w:bCs/>
          <w:sz w:val="20"/>
          <w:szCs w:val="20"/>
        </w:rPr>
        <w:t xml:space="preserve">. </w:t>
      </w:r>
      <w:r w:rsidR="007B2F2B" w:rsidRPr="00310A3C">
        <w:rPr>
          <w:bCs/>
          <w:sz w:val="20"/>
          <w:szCs w:val="20"/>
        </w:rPr>
        <w:t xml:space="preserve">Excluding the impact of </w:t>
      </w:r>
      <w:r w:rsidR="007B2F2B">
        <w:rPr>
          <w:bCs/>
          <w:sz w:val="20"/>
          <w:szCs w:val="20"/>
        </w:rPr>
        <w:t>the closure</w:t>
      </w:r>
      <w:r w:rsidR="00D2665A">
        <w:rPr>
          <w:bCs/>
          <w:sz w:val="20"/>
          <w:szCs w:val="20"/>
        </w:rPr>
        <w:t>s</w:t>
      </w:r>
      <w:r w:rsidR="007B2F2B">
        <w:rPr>
          <w:bCs/>
          <w:sz w:val="20"/>
          <w:szCs w:val="20"/>
        </w:rPr>
        <w:t xml:space="preserve"> of MGE Niagara Resorts</w:t>
      </w:r>
      <w:r w:rsidR="00D2665A">
        <w:rPr>
          <w:bCs/>
          <w:sz w:val="20"/>
          <w:szCs w:val="20"/>
        </w:rPr>
        <w:t xml:space="preserve"> for the full quarter and </w:t>
      </w:r>
      <w:r w:rsidR="00D2665A">
        <w:rPr>
          <w:bCs/>
          <w:sz w:val="20"/>
          <w:szCs w:val="20"/>
        </w:rPr>
        <w:lastRenderedPageBreak/>
        <w:t>Mohegan Sun Pocono for 3 days in January,</w:t>
      </w:r>
      <w:r w:rsidR="007B2F2B">
        <w:rPr>
          <w:bCs/>
          <w:sz w:val="20"/>
          <w:szCs w:val="20"/>
        </w:rPr>
        <w:t xml:space="preserve"> and </w:t>
      </w:r>
      <w:r w:rsidR="006B5106">
        <w:rPr>
          <w:bCs/>
          <w:sz w:val="20"/>
          <w:szCs w:val="20"/>
        </w:rPr>
        <w:t>a</w:t>
      </w:r>
      <w:r w:rsidR="006B5106" w:rsidRPr="00252765">
        <w:rPr>
          <w:bCs/>
          <w:sz w:val="20"/>
          <w:szCs w:val="20"/>
        </w:rPr>
        <w:t xml:space="preserve">djusting </w:t>
      </w:r>
      <w:r w:rsidR="00BE6BCE" w:rsidRPr="00252765">
        <w:rPr>
          <w:bCs/>
          <w:sz w:val="20"/>
          <w:szCs w:val="20"/>
        </w:rPr>
        <w:t>for</w:t>
      </w:r>
      <w:r w:rsidR="00252765" w:rsidRPr="00252765">
        <w:rPr>
          <w:bCs/>
          <w:sz w:val="20"/>
          <w:szCs w:val="20"/>
        </w:rPr>
        <w:t xml:space="preserve"> </w:t>
      </w:r>
      <w:r w:rsidR="00E165D8" w:rsidRPr="00252765">
        <w:rPr>
          <w:bCs/>
          <w:sz w:val="20"/>
          <w:szCs w:val="20"/>
        </w:rPr>
        <w:t>table hold</w:t>
      </w:r>
      <w:r w:rsidR="006E51B4" w:rsidRPr="00252765">
        <w:rPr>
          <w:bCs/>
          <w:sz w:val="20"/>
          <w:szCs w:val="20"/>
        </w:rPr>
        <w:t>,</w:t>
      </w:r>
      <w:r w:rsidR="00E9212F">
        <w:rPr>
          <w:bCs/>
          <w:sz w:val="20"/>
          <w:szCs w:val="20"/>
        </w:rPr>
        <w:t xml:space="preserve"> weather and one time COVID</w:t>
      </w:r>
      <w:r w:rsidR="00E44AB7">
        <w:rPr>
          <w:bCs/>
          <w:sz w:val="20"/>
          <w:szCs w:val="20"/>
        </w:rPr>
        <w:t>-</w:t>
      </w:r>
      <w:r w:rsidR="00E9212F">
        <w:rPr>
          <w:bCs/>
          <w:sz w:val="20"/>
          <w:szCs w:val="20"/>
        </w:rPr>
        <w:t>related expenses,</w:t>
      </w:r>
      <w:r w:rsidR="00D2665A">
        <w:rPr>
          <w:bCs/>
          <w:sz w:val="20"/>
          <w:szCs w:val="20"/>
        </w:rPr>
        <w:t xml:space="preserve"> the</w:t>
      </w:r>
      <w:r w:rsidR="006E51B4" w:rsidRPr="00252765">
        <w:rPr>
          <w:bCs/>
          <w:sz w:val="20"/>
          <w:szCs w:val="20"/>
        </w:rPr>
        <w:t xml:space="preserve"> </w:t>
      </w:r>
      <w:r w:rsidR="00FC5A5A">
        <w:rPr>
          <w:bCs/>
          <w:sz w:val="20"/>
          <w:szCs w:val="20"/>
        </w:rPr>
        <w:t>A</w:t>
      </w:r>
      <w:r w:rsidR="00FC5A5A" w:rsidRPr="00252765">
        <w:rPr>
          <w:bCs/>
          <w:sz w:val="20"/>
          <w:szCs w:val="20"/>
        </w:rPr>
        <w:t xml:space="preserve">djusted </w:t>
      </w:r>
      <w:r w:rsidR="006E51B4" w:rsidRPr="00252765">
        <w:rPr>
          <w:bCs/>
          <w:sz w:val="20"/>
          <w:szCs w:val="20"/>
        </w:rPr>
        <w:t xml:space="preserve">EBITDA margin would have been </w:t>
      </w:r>
      <w:r w:rsidR="002C4E33">
        <w:rPr>
          <w:bCs/>
          <w:sz w:val="20"/>
          <w:szCs w:val="20"/>
        </w:rPr>
        <w:t>32.8</w:t>
      </w:r>
      <w:r w:rsidR="006E51B4" w:rsidRPr="00252765">
        <w:rPr>
          <w:bCs/>
          <w:sz w:val="20"/>
          <w:szCs w:val="20"/>
        </w:rPr>
        <w:t xml:space="preserve">% for the quarter, up </w:t>
      </w:r>
      <w:r w:rsidR="002C4E33">
        <w:rPr>
          <w:bCs/>
          <w:sz w:val="20"/>
          <w:szCs w:val="20"/>
        </w:rPr>
        <w:t>773</w:t>
      </w:r>
      <w:r w:rsidR="002C4E33" w:rsidRPr="00252765">
        <w:rPr>
          <w:bCs/>
          <w:sz w:val="20"/>
          <w:szCs w:val="20"/>
        </w:rPr>
        <w:t xml:space="preserve"> </w:t>
      </w:r>
      <w:r w:rsidR="006E51B4" w:rsidRPr="00252765">
        <w:rPr>
          <w:bCs/>
          <w:sz w:val="20"/>
          <w:szCs w:val="20"/>
        </w:rPr>
        <w:t xml:space="preserve">basis points from </w:t>
      </w:r>
      <w:r w:rsidR="00C5367E" w:rsidRPr="00252765">
        <w:rPr>
          <w:bCs/>
          <w:sz w:val="20"/>
          <w:szCs w:val="20"/>
        </w:rPr>
        <w:t>2</w:t>
      </w:r>
      <w:r w:rsidR="00C5367E">
        <w:rPr>
          <w:bCs/>
          <w:sz w:val="20"/>
          <w:szCs w:val="20"/>
        </w:rPr>
        <w:t>5</w:t>
      </w:r>
      <w:r w:rsidR="00252765" w:rsidRPr="00252765">
        <w:rPr>
          <w:bCs/>
          <w:sz w:val="20"/>
          <w:szCs w:val="20"/>
        </w:rPr>
        <w:t>.</w:t>
      </w:r>
      <w:r w:rsidR="002C4E33">
        <w:rPr>
          <w:bCs/>
          <w:sz w:val="20"/>
          <w:szCs w:val="20"/>
        </w:rPr>
        <w:t>1</w:t>
      </w:r>
      <w:r w:rsidR="006E51B4" w:rsidRPr="00252765">
        <w:rPr>
          <w:bCs/>
          <w:sz w:val="20"/>
          <w:szCs w:val="20"/>
        </w:rPr>
        <w:t>%</w:t>
      </w:r>
      <w:r w:rsidR="00FC5A5A">
        <w:rPr>
          <w:bCs/>
          <w:sz w:val="20"/>
          <w:szCs w:val="20"/>
        </w:rPr>
        <w:t xml:space="preserve"> in the second quarter of 2019.</w:t>
      </w:r>
    </w:p>
    <w:p w14:paraId="3FE073CD" w14:textId="77777777" w:rsidR="00635F57" w:rsidRDefault="00635F57" w:rsidP="00AC6093">
      <w:pPr>
        <w:jc w:val="both"/>
        <w:rPr>
          <w:bCs/>
          <w:sz w:val="20"/>
          <w:szCs w:val="20"/>
        </w:rPr>
      </w:pPr>
    </w:p>
    <w:p w14:paraId="20C75139" w14:textId="77777777" w:rsidR="00132ECF" w:rsidRDefault="00132ECF" w:rsidP="00AC6093">
      <w:pPr>
        <w:jc w:val="both"/>
        <w:rPr>
          <w:bCs/>
          <w:sz w:val="20"/>
          <w:szCs w:val="20"/>
        </w:rPr>
      </w:pPr>
    </w:p>
    <w:p w14:paraId="1983B1B4" w14:textId="32CF6D56" w:rsidR="00AC6093" w:rsidRPr="00CC55E1" w:rsidRDefault="00AC6093" w:rsidP="00AC6093">
      <w:pPr>
        <w:jc w:val="both"/>
        <w:rPr>
          <w:b/>
          <w:bCs/>
          <w:sz w:val="20"/>
          <w:szCs w:val="20"/>
        </w:rPr>
      </w:pPr>
      <w:r w:rsidRPr="00CC55E1">
        <w:rPr>
          <w:b/>
          <w:bCs/>
          <w:sz w:val="20"/>
          <w:szCs w:val="20"/>
        </w:rPr>
        <w:t>Mohegan Sun</w:t>
      </w:r>
      <w:r w:rsidR="00BD7127">
        <w:rPr>
          <w:b/>
          <w:bCs/>
          <w:sz w:val="20"/>
          <w:szCs w:val="20"/>
        </w:rPr>
        <w:t xml:space="preserve"> Operating Results</w:t>
      </w:r>
    </w:p>
    <w:p w14:paraId="6C45107E" w14:textId="3B122B9B" w:rsidR="00D87E14" w:rsidRDefault="00AC6093" w:rsidP="0075441C">
      <w:pPr>
        <w:rPr>
          <w:sz w:val="20"/>
          <w:szCs w:val="20"/>
        </w:rPr>
      </w:pPr>
      <w:r w:rsidRPr="00816AB2">
        <w:rPr>
          <w:bCs/>
          <w:i/>
          <w:sz w:val="16"/>
          <w:szCs w:val="16"/>
        </w:rPr>
        <w:t>(in thousands, unaudited)</w:t>
      </w:r>
    </w:p>
    <w:p w14:paraId="3096A444" w14:textId="23BADCC1" w:rsidR="0075441C" w:rsidRDefault="00F97B17" w:rsidP="0075441C">
      <w:pPr>
        <w:rPr>
          <w:sz w:val="20"/>
          <w:szCs w:val="20"/>
        </w:rPr>
      </w:pPr>
      <w:r>
        <w:rPr>
          <w:noProof/>
        </w:rPr>
        <w:drawing>
          <wp:inline distT="0" distB="0" distL="0" distR="0" wp14:anchorId="52B38DE9" wp14:editId="15ED1A6B">
            <wp:extent cx="5943600" cy="78930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89305"/>
                    </a:xfrm>
                    <a:prstGeom prst="rect">
                      <a:avLst/>
                    </a:prstGeom>
                    <a:noFill/>
                    <a:extLst/>
                  </pic:spPr>
                </pic:pic>
              </a:graphicData>
            </a:graphic>
          </wp:inline>
        </w:drawing>
      </w:r>
      <w:r w:rsidR="00AA4D4E" w:rsidRPr="00AA4D4E">
        <w:rPr>
          <w:sz w:val="20"/>
          <w:szCs w:val="20"/>
        </w:rPr>
        <w:t xml:space="preserve"> </w:t>
      </w:r>
      <w:r w:rsidR="00AA0067" w:rsidRPr="00AA0067">
        <w:rPr>
          <w:sz w:val="20"/>
          <w:szCs w:val="20"/>
        </w:rPr>
        <w:t xml:space="preserve"> </w:t>
      </w:r>
    </w:p>
    <w:p w14:paraId="1E288D29" w14:textId="77777777" w:rsidR="0075441C" w:rsidRDefault="0075441C" w:rsidP="0075441C">
      <w:pPr>
        <w:rPr>
          <w:sz w:val="20"/>
          <w:szCs w:val="20"/>
          <w:highlight w:val="yellow"/>
        </w:rPr>
      </w:pPr>
    </w:p>
    <w:p w14:paraId="14BC2A2D" w14:textId="3D536A5C" w:rsidR="00635F57" w:rsidRDefault="00B9788C" w:rsidP="00FB20BF">
      <w:pPr>
        <w:jc w:val="both"/>
        <w:rPr>
          <w:sz w:val="20"/>
          <w:szCs w:val="20"/>
        </w:rPr>
      </w:pPr>
      <w:r>
        <w:rPr>
          <w:sz w:val="20"/>
          <w:szCs w:val="20"/>
        </w:rPr>
        <w:t>At Mohegan Sun</w:t>
      </w:r>
      <w:r w:rsidR="00195DE8">
        <w:rPr>
          <w:sz w:val="20"/>
          <w:szCs w:val="20"/>
        </w:rPr>
        <w:t>,</w:t>
      </w:r>
      <w:r w:rsidR="00FB20BF" w:rsidRPr="00FB20BF">
        <w:rPr>
          <w:sz w:val="20"/>
          <w:szCs w:val="20"/>
        </w:rPr>
        <w:t xml:space="preserve"> overall visitation and gaming trends </w:t>
      </w:r>
      <w:r w:rsidR="00A42F56">
        <w:rPr>
          <w:sz w:val="20"/>
          <w:szCs w:val="20"/>
        </w:rPr>
        <w:t xml:space="preserve">continue to </w:t>
      </w:r>
      <w:r w:rsidR="00016566">
        <w:rPr>
          <w:sz w:val="20"/>
          <w:szCs w:val="20"/>
        </w:rPr>
        <w:t>improve</w:t>
      </w:r>
      <w:r w:rsidR="00A42F56">
        <w:rPr>
          <w:sz w:val="20"/>
          <w:szCs w:val="20"/>
        </w:rPr>
        <w:t xml:space="preserve"> sequentially</w:t>
      </w:r>
      <w:r>
        <w:rPr>
          <w:sz w:val="20"/>
          <w:szCs w:val="20"/>
        </w:rPr>
        <w:t xml:space="preserve"> as vaccination </w:t>
      </w:r>
      <w:r w:rsidR="00E44AB7">
        <w:rPr>
          <w:sz w:val="20"/>
          <w:szCs w:val="20"/>
        </w:rPr>
        <w:t xml:space="preserve">rates </w:t>
      </w:r>
      <w:r>
        <w:rPr>
          <w:sz w:val="20"/>
          <w:szCs w:val="20"/>
        </w:rPr>
        <w:t xml:space="preserve">increase and customers </w:t>
      </w:r>
      <w:r w:rsidR="00195DE8">
        <w:rPr>
          <w:sz w:val="20"/>
          <w:szCs w:val="20"/>
        </w:rPr>
        <w:t>r</w:t>
      </w:r>
      <w:r w:rsidR="00A51289">
        <w:rPr>
          <w:sz w:val="20"/>
          <w:szCs w:val="20"/>
        </w:rPr>
        <w:t>eturn to pre-COVID activity levels</w:t>
      </w:r>
      <w:r>
        <w:rPr>
          <w:sz w:val="20"/>
          <w:szCs w:val="20"/>
        </w:rPr>
        <w:t>. Additionally,</w:t>
      </w:r>
      <w:r w:rsidR="00656CAF">
        <w:rPr>
          <w:sz w:val="20"/>
          <w:szCs w:val="20"/>
        </w:rPr>
        <w:t xml:space="preserve"> by the </w:t>
      </w:r>
      <w:r>
        <w:rPr>
          <w:sz w:val="20"/>
          <w:szCs w:val="20"/>
        </w:rPr>
        <w:t xml:space="preserve">end of the quarter, all </w:t>
      </w:r>
      <w:r w:rsidR="00656CAF">
        <w:rPr>
          <w:sz w:val="20"/>
          <w:szCs w:val="20"/>
        </w:rPr>
        <w:t xml:space="preserve">1,600 rooms at the resort had reopened, with </w:t>
      </w:r>
      <w:r w:rsidRPr="00BA15D6">
        <w:rPr>
          <w:sz w:val="20"/>
          <w:szCs w:val="20"/>
        </w:rPr>
        <w:t xml:space="preserve">occupancy exceeding </w:t>
      </w:r>
      <w:r w:rsidRPr="00AC542E">
        <w:rPr>
          <w:sz w:val="20"/>
          <w:szCs w:val="20"/>
        </w:rPr>
        <w:t>9</w:t>
      </w:r>
      <w:r w:rsidR="00AC542E">
        <w:rPr>
          <w:sz w:val="20"/>
          <w:szCs w:val="20"/>
        </w:rPr>
        <w:t>5</w:t>
      </w:r>
      <w:r w:rsidRPr="00AC542E">
        <w:rPr>
          <w:sz w:val="20"/>
          <w:szCs w:val="20"/>
        </w:rPr>
        <w:t>%</w:t>
      </w:r>
      <w:r w:rsidR="00656CAF" w:rsidRPr="00AC542E">
        <w:rPr>
          <w:sz w:val="20"/>
          <w:szCs w:val="20"/>
        </w:rPr>
        <w:t xml:space="preserve"> in April</w:t>
      </w:r>
      <w:r w:rsidRPr="00AC542E">
        <w:rPr>
          <w:sz w:val="20"/>
          <w:szCs w:val="20"/>
        </w:rPr>
        <w:t>.</w:t>
      </w:r>
      <w:r w:rsidRPr="00BA15D6">
        <w:rPr>
          <w:sz w:val="20"/>
          <w:szCs w:val="20"/>
        </w:rPr>
        <w:t xml:space="preserve"> </w:t>
      </w:r>
      <w:r w:rsidR="008605B4">
        <w:rPr>
          <w:sz w:val="20"/>
          <w:szCs w:val="20"/>
        </w:rPr>
        <w:t>The Company anticipates the return of its other amenities, including the Arena, by mid-summer.</w:t>
      </w:r>
      <w:r w:rsidR="00656CAF">
        <w:rPr>
          <w:sz w:val="20"/>
          <w:szCs w:val="20"/>
        </w:rPr>
        <w:t xml:space="preserve"> </w:t>
      </w:r>
      <w:r w:rsidR="00FB20BF" w:rsidRPr="00FB20BF">
        <w:rPr>
          <w:sz w:val="20"/>
          <w:szCs w:val="20"/>
        </w:rPr>
        <w:t xml:space="preserve">Adjusted EBITDA </w:t>
      </w:r>
      <w:r w:rsidR="00A42F56">
        <w:rPr>
          <w:sz w:val="20"/>
          <w:szCs w:val="20"/>
        </w:rPr>
        <w:t>increased</w:t>
      </w:r>
      <w:r w:rsidR="00FB20BF" w:rsidRPr="00FB20BF">
        <w:rPr>
          <w:sz w:val="20"/>
          <w:szCs w:val="20"/>
        </w:rPr>
        <w:t xml:space="preserve"> </w:t>
      </w:r>
      <w:r w:rsidR="00BA15D6">
        <w:rPr>
          <w:sz w:val="20"/>
          <w:szCs w:val="20"/>
        </w:rPr>
        <w:t>88.8</w:t>
      </w:r>
      <w:r w:rsidR="00FB20BF" w:rsidRPr="00FB20BF">
        <w:rPr>
          <w:sz w:val="20"/>
          <w:szCs w:val="20"/>
        </w:rPr>
        <w:t xml:space="preserve">% for the quarter, reflecting </w:t>
      </w:r>
      <w:r w:rsidR="00195DE8">
        <w:rPr>
          <w:sz w:val="20"/>
          <w:szCs w:val="20"/>
        </w:rPr>
        <w:t xml:space="preserve">the </w:t>
      </w:r>
      <w:r w:rsidR="00A42F56">
        <w:rPr>
          <w:sz w:val="20"/>
          <w:szCs w:val="20"/>
        </w:rPr>
        <w:t xml:space="preserve">easier </w:t>
      </w:r>
      <w:r w:rsidR="007C6D70">
        <w:rPr>
          <w:sz w:val="20"/>
          <w:szCs w:val="20"/>
        </w:rPr>
        <w:t>year-over-year</w:t>
      </w:r>
      <w:r w:rsidR="00A42F56">
        <w:rPr>
          <w:sz w:val="20"/>
          <w:szCs w:val="20"/>
        </w:rPr>
        <w:t xml:space="preserve"> comparison. When compared to </w:t>
      </w:r>
      <w:r w:rsidR="008605B4">
        <w:rPr>
          <w:bCs/>
          <w:sz w:val="20"/>
          <w:szCs w:val="20"/>
        </w:rPr>
        <w:t>the second quarter of 2019</w:t>
      </w:r>
      <w:r w:rsidR="00A42F56">
        <w:rPr>
          <w:sz w:val="20"/>
          <w:szCs w:val="20"/>
        </w:rPr>
        <w:t xml:space="preserve">, </w:t>
      </w:r>
      <w:r w:rsidR="0002315E">
        <w:rPr>
          <w:sz w:val="20"/>
          <w:szCs w:val="20"/>
        </w:rPr>
        <w:t xml:space="preserve">Adjusted </w:t>
      </w:r>
      <w:r w:rsidR="00A42F56">
        <w:rPr>
          <w:sz w:val="20"/>
          <w:szCs w:val="20"/>
        </w:rPr>
        <w:t xml:space="preserve">EBITDA </w:t>
      </w:r>
      <w:r w:rsidR="00656CAF">
        <w:rPr>
          <w:sz w:val="20"/>
          <w:szCs w:val="20"/>
        </w:rPr>
        <w:t>in</w:t>
      </w:r>
      <w:r w:rsidR="00A42F56">
        <w:rPr>
          <w:sz w:val="20"/>
          <w:szCs w:val="20"/>
        </w:rPr>
        <w:t xml:space="preserve">creased </w:t>
      </w:r>
      <w:r w:rsidR="006D02CA">
        <w:rPr>
          <w:sz w:val="20"/>
          <w:szCs w:val="20"/>
        </w:rPr>
        <w:t>17.9</w:t>
      </w:r>
      <w:r w:rsidR="00A42F56">
        <w:rPr>
          <w:sz w:val="20"/>
          <w:szCs w:val="20"/>
        </w:rPr>
        <w:t xml:space="preserve">%, reflecting the positive impact of significant </w:t>
      </w:r>
      <w:r w:rsidR="00A42F56" w:rsidRPr="00FB20BF">
        <w:rPr>
          <w:sz w:val="20"/>
          <w:szCs w:val="20"/>
        </w:rPr>
        <w:t xml:space="preserve">cost reduction </w:t>
      </w:r>
      <w:r w:rsidR="00A42F56">
        <w:rPr>
          <w:sz w:val="20"/>
          <w:szCs w:val="20"/>
        </w:rPr>
        <w:t xml:space="preserve">efforts undertaken </w:t>
      </w:r>
      <w:r w:rsidR="00A42F56" w:rsidRPr="00FB20BF">
        <w:rPr>
          <w:sz w:val="20"/>
          <w:szCs w:val="20"/>
        </w:rPr>
        <w:t xml:space="preserve">at </w:t>
      </w:r>
      <w:r w:rsidR="00A42F56">
        <w:rPr>
          <w:sz w:val="20"/>
          <w:szCs w:val="20"/>
        </w:rPr>
        <w:t>the</w:t>
      </w:r>
      <w:r w:rsidR="00A42F56" w:rsidRPr="00FB20BF">
        <w:rPr>
          <w:sz w:val="20"/>
          <w:szCs w:val="20"/>
        </w:rPr>
        <w:t xml:space="preserve"> property</w:t>
      </w:r>
      <w:r w:rsidR="00A42F56">
        <w:rPr>
          <w:sz w:val="20"/>
          <w:szCs w:val="20"/>
        </w:rPr>
        <w:t xml:space="preserve"> over the last year, offset by</w:t>
      </w:r>
      <w:r w:rsidR="00A42F56" w:rsidRPr="00FB20BF">
        <w:rPr>
          <w:sz w:val="20"/>
          <w:szCs w:val="20"/>
        </w:rPr>
        <w:t xml:space="preserve"> </w:t>
      </w:r>
      <w:r w:rsidR="00FB20BF" w:rsidRPr="00FB20BF">
        <w:rPr>
          <w:sz w:val="20"/>
          <w:szCs w:val="20"/>
        </w:rPr>
        <w:t xml:space="preserve">the impact </w:t>
      </w:r>
      <w:r w:rsidR="002A572A">
        <w:rPr>
          <w:sz w:val="20"/>
          <w:szCs w:val="20"/>
        </w:rPr>
        <w:t>of</w:t>
      </w:r>
      <w:r w:rsidR="00FB20BF" w:rsidRPr="00FB20BF">
        <w:rPr>
          <w:sz w:val="20"/>
          <w:szCs w:val="20"/>
        </w:rPr>
        <w:t xml:space="preserve"> COVID</w:t>
      </w:r>
      <w:r w:rsidR="00A00F16">
        <w:rPr>
          <w:sz w:val="20"/>
          <w:szCs w:val="20"/>
        </w:rPr>
        <w:t>-</w:t>
      </w:r>
      <w:r w:rsidR="00FB20BF" w:rsidRPr="004622F3">
        <w:rPr>
          <w:sz w:val="20"/>
          <w:szCs w:val="20"/>
        </w:rPr>
        <w:t>related reduction</w:t>
      </w:r>
      <w:r w:rsidR="0002315E">
        <w:rPr>
          <w:sz w:val="20"/>
          <w:szCs w:val="20"/>
        </w:rPr>
        <w:t>s</w:t>
      </w:r>
      <w:r w:rsidR="00FB20BF" w:rsidRPr="004622F3">
        <w:rPr>
          <w:sz w:val="20"/>
          <w:szCs w:val="20"/>
        </w:rPr>
        <w:t xml:space="preserve"> in non-gaming capaci</w:t>
      </w:r>
      <w:r w:rsidR="00A42F56" w:rsidRPr="004622F3">
        <w:rPr>
          <w:sz w:val="20"/>
          <w:szCs w:val="20"/>
        </w:rPr>
        <w:t>ty and gaming volume</w:t>
      </w:r>
      <w:r w:rsidR="00CC2A20" w:rsidRPr="004622F3">
        <w:rPr>
          <w:sz w:val="20"/>
          <w:szCs w:val="20"/>
        </w:rPr>
        <w:t xml:space="preserve">. </w:t>
      </w:r>
      <w:r w:rsidR="00A42F56" w:rsidRPr="006D0A98">
        <w:rPr>
          <w:sz w:val="20"/>
          <w:szCs w:val="20"/>
        </w:rPr>
        <w:t xml:space="preserve">Most notably, </w:t>
      </w:r>
      <w:r w:rsidR="00E9212F" w:rsidRPr="006D0A98">
        <w:rPr>
          <w:sz w:val="20"/>
          <w:szCs w:val="20"/>
        </w:rPr>
        <w:t xml:space="preserve">when </w:t>
      </w:r>
      <w:r w:rsidR="00E9212F" w:rsidRPr="006D0A98">
        <w:rPr>
          <w:bCs/>
          <w:sz w:val="20"/>
          <w:szCs w:val="20"/>
        </w:rPr>
        <w:t>adjusting for the strong table hold, weather and one time COVID</w:t>
      </w:r>
      <w:r w:rsidR="00195DE8" w:rsidRPr="006D0A98">
        <w:rPr>
          <w:bCs/>
          <w:sz w:val="20"/>
          <w:szCs w:val="20"/>
        </w:rPr>
        <w:t>-</w:t>
      </w:r>
      <w:r w:rsidR="00E9212F" w:rsidRPr="006D0A98">
        <w:rPr>
          <w:bCs/>
          <w:sz w:val="20"/>
          <w:szCs w:val="20"/>
        </w:rPr>
        <w:t xml:space="preserve">related expenses, </w:t>
      </w:r>
      <w:r w:rsidR="0002315E" w:rsidRPr="006D0A98">
        <w:rPr>
          <w:sz w:val="20"/>
          <w:szCs w:val="20"/>
        </w:rPr>
        <w:t xml:space="preserve">Adjusted </w:t>
      </w:r>
      <w:r w:rsidR="00FB20BF" w:rsidRPr="006D0A98">
        <w:rPr>
          <w:sz w:val="20"/>
          <w:szCs w:val="20"/>
        </w:rPr>
        <w:t xml:space="preserve">EBITDA margin </w:t>
      </w:r>
      <w:r w:rsidR="001456AC" w:rsidRPr="006D0A98">
        <w:rPr>
          <w:sz w:val="20"/>
          <w:szCs w:val="20"/>
        </w:rPr>
        <w:t xml:space="preserve">would have been </w:t>
      </w:r>
      <w:r w:rsidR="00A42F56" w:rsidRPr="006D0A98">
        <w:rPr>
          <w:sz w:val="20"/>
          <w:szCs w:val="20"/>
        </w:rPr>
        <w:t>3</w:t>
      </w:r>
      <w:r w:rsidR="004622F3" w:rsidRPr="006D0A98">
        <w:rPr>
          <w:sz w:val="20"/>
          <w:szCs w:val="20"/>
        </w:rPr>
        <w:t>7</w:t>
      </w:r>
      <w:r w:rsidR="00FB20BF" w:rsidRPr="006D0A98">
        <w:rPr>
          <w:sz w:val="20"/>
          <w:szCs w:val="20"/>
        </w:rPr>
        <w:t>.</w:t>
      </w:r>
      <w:r w:rsidR="00292282" w:rsidRPr="006D0A98">
        <w:rPr>
          <w:sz w:val="20"/>
          <w:szCs w:val="20"/>
        </w:rPr>
        <w:t>4</w:t>
      </w:r>
      <w:r w:rsidR="00FB20BF" w:rsidRPr="006D0A98">
        <w:rPr>
          <w:sz w:val="20"/>
          <w:szCs w:val="20"/>
        </w:rPr>
        <w:t>%, up</w:t>
      </w:r>
      <w:r w:rsidR="002A572A" w:rsidRPr="006D0A98">
        <w:rPr>
          <w:sz w:val="20"/>
          <w:szCs w:val="20"/>
        </w:rPr>
        <w:t xml:space="preserve"> </w:t>
      </w:r>
      <w:r w:rsidR="00EF78C0" w:rsidRPr="006D0A98">
        <w:rPr>
          <w:sz w:val="20"/>
          <w:szCs w:val="20"/>
        </w:rPr>
        <w:t xml:space="preserve">862 </w:t>
      </w:r>
      <w:r w:rsidR="00FB20BF" w:rsidRPr="006D0A98">
        <w:rPr>
          <w:sz w:val="20"/>
          <w:szCs w:val="20"/>
        </w:rPr>
        <w:t xml:space="preserve">basis points from </w:t>
      </w:r>
      <w:r w:rsidR="004622F3" w:rsidRPr="006D0A98">
        <w:rPr>
          <w:sz w:val="20"/>
          <w:szCs w:val="20"/>
        </w:rPr>
        <w:t>28.8</w:t>
      </w:r>
      <w:r w:rsidR="00FB20BF" w:rsidRPr="006D0A98">
        <w:rPr>
          <w:sz w:val="20"/>
          <w:szCs w:val="20"/>
        </w:rPr>
        <w:t xml:space="preserve">% in </w:t>
      </w:r>
      <w:r w:rsidR="008605B4" w:rsidRPr="006D0A98">
        <w:rPr>
          <w:bCs/>
          <w:sz w:val="20"/>
          <w:szCs w:val="20"/>
        </w:rPr>
        <w:t>the second quarter of 2019</w:t>
      </w:r>
      <w:r w:rsidR="00FB20BF" w:rsidRPr="006D0A98">
        <w:rPr>
          <w:sz w:val="20"/>
          <w:szCs w:val="20"/>
        </w:rPr>
        <w:t>.</w:t>
      </w:r>
      <w:r w:rsidR="00FB20BF" w:rsidRPr="00FB20BF">
        <w:rPr>
          <w:sz w:val="20"/>
          <w:szCs w:val="20"/>
        </w:rPr>
        <w:t xml:space="preserve">  </w:t>
      </w:r>
      <w:r w:rsidR="002A572A">
        <w:rPr>
          <w:sz w:val="20"/>
          <w:szCs w:val="20"/>
        </w:rPr>
        <w:t xml:space="preserve"> </w:t>
      </w:r>
    </w:p>
    <w:p w14:paraId="11AAB061" w14:textId="77777777" w:rsidR="00CC2A20" w:rsidRDefault="00CC2A20" w:rsidP="0075441C">
      <w:pPr>
        <w:spacing w:before="90"/>
        <w:jc w:val="both"/>
        <w:rPr>
          <w:b/>
          <w:bCs/>
          <w:sz w:val="20"/>
          <w:szCs w:val="20"/>
        </w:rPr>
      </w:pPr>
    </w:p>
    <w:p w14:paraId="5C3D3D46" w14:textId="72A0F93D" w:rsidR="00FD6D3F" w:rsidRPr="006C6CEB" w:rsidRDefault="00FD6D3F" w:rsidP="006C6CEB">
      <w:pPr>
        <w:jc w:val="both"/>
        <w:rPr>
          <w:b/>
          <w:bCs/>
          <w:sz w:val="20"/>
          <w:szCs w:val="20"/>
        </w:rPr>
      </w:pPr>
      <w:r w:rsidRPr="00CC55E1">
        <w:rPr>
          <w:b/>
          <w:bCs/>
          <w:sz w:val="20"/>
          <w:szCs w:val="20"/>
        </w:rPr>
        <w:t>Mohegan Sun</w:t>
      </w:r>
      <w:r w:rsidR="002A044F" w:rsidRPr="00CC55E1">
        <w:rPr>
          <w:b/>
          <w:bCs/>
          <w:sz w:val="20"/>
          <w:szCs w:val="20"/>
        </w:rPr>
        <w:t xml:space="preserve"> </w:t>
      </w:r>
      <w:r w:rsidRPr="00CC55E1">
        <w:rPr>
          <w:b/>
          <w:bCs/>
          <w:sz w:val="20"/>
          <w:szCs w:val="20"/>
        </w:rPr>
        <w:t>Pocono</w:t>
      </w:r>
      <w:r w:rsidR="006C6CEB">
        <w:rPr>
          <w:b/>
          <w:bCs/>
          <w:sz w:val="20"/>
          <w:szCs w:val="20"/>
        </w:rPr>
        <w:t xml:space="preserve"> Operating Results</w:t>
      </w:r>
    </w:p>
    <w:p w14:paraId="34647D93" w14:textId="16E6C092" w:rsidR="00FD6D3F" w:rsidRPr="006C6CEB" w:rsidRDefault="00FD6D3F" w:rsidP="00870391">
      <w:pPr>
        <w:jc w:val="both"/>
        <w:rPr>
          <w:bCs/>
          <w:i/>
          <w:sz w:val="16"/>
          <w:szCs w:val="16"/>
        </w:rPr>
      </w:pPr>
      <w:r w:rsidRPr="006C6CEB">
        <w:rPr>
          <w:bCs/>
          <w:i/>
          <w:sz w:val="16"/>
          <w:szCs w:val="16"/>
        </w:rPr>
        <w:t>(in thousands, unaudited)</w:t>
      </w:r>
      <w:r w:rsidR="006C6CEB" w:rsidRPr="006C6CEB">
        <w:rPr>
          <w:bCs/>
          <w:i/>
          <w:sz w:val="16"/>
          <w:szCs w:val="16"/>
        </w:rPr>
        <w:t xml:space="preserve"> </w:t>
      </w:r>
    </w:p>
    <w:p w14:paraId="0E322D66" w14:textId="77777777" w:rsidR="00FD6D3F" w:rsidRPr="0016695B" w:rsidRDefault="00E4013D" w:rsidP="00FD6D3F">
      <w:pPr>
        <w:rPr>
          <w:sz w:val="20"/>
          <w:szCs w:val="20"/>
        </w:rPr>
      </w:pPr>
      <w:r>
        <w:rPr>
          <w:noProof/>
        </w:rPr>
        <w:drawing>
          <wp:inline distT="0" distB="0" distL="0" distR="0" wp14:anchorId="4E88CB07" wp14:editId="70E1A89A">
            <wp:extent cx="5943600"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822960"/>
                    </a:xfrm>
                    <a:prstGeom prst="rect">
                      <a:avLst/>
                    </a:prstGeom>
                    <a:noFill/>
                    <a:extLst/>
                  </pic:spPr>
                </pic:pic>
              </a:graphicData>
            </a:graphic>
          </wp:inline>
        </w:drawing>
      </w:r>
      <w:r w:rsidR="00AA0067" w:rsidRPr="00AA0067">
        <w:rPr>
          <w:sz w:val="20"/>
          <w:szCs w:val="20"/>
        </w:rPr>
        <w:t xml:space="preserve"> </w:t>
      </w:r>
    </w:p>
    <w:p w14:paraId="36044FFD" w14:textId="77777777" w:rsidR="00B03861" w:rsidRPr="0016695B" w:rsidRDefault="00B03861" w:rsidP="00FD6D3F">
      <w:pPr>
        <w:rPr>
          <w:sz w:val="20"/>
          <w:szCs w:val="20"/>
        </w:rPr>
      </w:pPr>
    </w:p>
    <w:p w14:paraId="5E7D5DA6" w14:textId="4424136E" w:rsidR="00040C19" w:rsidRPr="00195DE8" w:rsidRDefault="00705EDA" w:rsidP="00BE2134">
      <w:pPr>
        <w:tabs>
          <w:tab w:val="left" w:pos="6090"/>
        </w:tabs>
        <w:jc w:val="both"/>
        <w:rPr>
          <w:sz w:val="20"/>
          <w:szCs w:val="20"/>
        </w:rPr>
      </w:pPr>
      <w:r w:rsidRPr="00BA15D6">
        <w:rPr>
          <w:bCs/>
          <w:sz w:val="20"/>
          <w:szCs w:val="20"/>
        </w:rPr>
        <w:t xml:space="preserve">In Pennsylvania, </w:t>
      </w:r>
      <w:r w:rsidR="00F24E1B">
        <w:rPr>
          <w:bCs/>
          <w:sz w:val="20"/>
          <w:szCs w:val="20"/>
        </w:rPr>
        <w:t xml:space="preserve">which was </w:t>
      </w:r>
      <w:r w:rsidRPr="00BA15D6">
        <w:rPr>
          <w:bCs/>
          <w:sz w:val="20"/>
          <w:szCs w:val="20"/>
        </w:rPr>
        <w:t xml:space="preserve">closed for </w:t>
      </w:r>
      <w:r w:rsidR="00E4013D">
        <w:rPr>
          <w:bCs/>
          <w:sz w:val="20"/>
          <w:szCs w:val="20"/>
        </w:rPr>
        <w:t>3</w:t>
      </w:r>
      <w:r w:rsidR="00195DE8">
        <w:rPr>
          <w:bCs/>
          <w:sz w:val="20"/>
          <w:szCs w:val="20"/>
        </w:rPr>
        <w:t xml:space="preserve"> days</w:t>
      </w:r>
      <w:r w:rsidRPr="00BA15D6">
        <w:rPr>
          <w:bCs/>
          <w:sz w:val="20"/>
          <w:szCs w:val="20"/>
        </w:rPr>
        <w:t xml:space="preserve"> </w:t>
      </w:r>
      <w:r w:rsidR="00A51289">
        <w:rPr>
          <w:bCs/>
          <w:sz w:val="20"/>
          <w:szCs w:val="20"/>
        </w:rPr>
        <w:t xml:space="preserve">in </w:t>
      </w:r>
      <w:r w:rsidRPr="00BA15D6">
        <w:rPr>
          <w:bCs/>
          <w:sz w:val="20"/>
          <w:szCs w:val="20"/>
        </w:rPr>
        <w:t>January</w:t>
      </w:r>
      <w:r w:rsidR="00195DE8">
        <w:rPr>
          <w:bCs/>
          <w:sz w:val="20"/>
          <w:szCs w:val="20"/>
        </w:rPr>
        <w:t xml:space="preserve"> by order of the </w:t>
      </w:r>
      <w:r w:rsidR="008605B4">
        <w:rPr>
          <w:bCs/>
          <w:sz w:val="20"/>
          <w:szCs w:val="20"/>
        </w:rPr>
        <w:t xml:space="preserve">Commonwealth </w:t>
      </w:r>
      <w:r w:rsidR="00A51289">
        <w:rPr>
          <w:bCs/>
          <w:sz w:val="20"/>
          <w:szCs w:val="20"/>
        </w:rPr>
        <w:t>but</w:t>
      </w:r>
      <w:r w:rsidRPr="00BA15D6">
        <w:rPr>
          <w:bCs/>
          <w:sz w:val="20"/>
          <w:szCs w:val="20"/>
        </w:rPr>
        <w:t xml:space="preserve"> </w:t>
      </w:r>
      <w:r w:rsidR="00195DE8">
        <w:rPr>
          <w:bCs/>
          <w:sz w:val="20"/>
          <w:szCs w:val="20"/>
        </w:rPr>
        <w:t>re</w:t>
      </w:r>
      <w:r w:rsidRPr="00BA15D6">
        <w:rPr>
          <w:bCs/>
          <w:sz w:val="20"/>
          <w:szCs w:val="20"/>
        </w:rPr>
        <w:t>open</w:t>
      </w:r>
      <w:r w:rsidR="00195DE8">
        <w:rPr>
          <w:bCs/>
          <w:sz w:val="20"/>
          <w:szCs w:val="20"/>
        </w:rPr>
        <w:t>ed</w:t>
      </w:r>
      <w:r w:rsidRPr="00BA15D6">
        <w:rPr>
          <w:bCs/>
          <w:sz w:val="20"/>
          <w:szCs w:val="20"/>
        </w:rPr>
        <w:t xml:space="preserve"> January 4th, trends have continued to improve sequentially with </w:t>
      </w:r>
      <w:r w:rsidR="00195DE8" w:rsidRPr="00BA15D6">
        <w:rPr>
          <w:bCs/>
          <w:sz w:val="20"/>
          <w:szCs w:val="20"/>
        </w:rPr>
        <w:t xml:space="preserve">especially </w:t>
      </w:r>
      <w:r w:rsidR="00195DE8">
        <w:rPr>
          <w:bCs/>
          <w:sz w:val="20"/>
          <w:szCs w:val="20"/>
        </w:rPr>
        <w:t xml:space="preserve">encouraging </w:t>
      </w:r>
      <w:r w:rsidR="00195DE8" w:rsidRPr="00BA15D6">
        <w:rPr>
          <w:bCs/>
          <w:sz w:val="20"/>
          <w:szCs w:val="20"/>
        </w:rPr>
        <w:t xml:space="preserve">performance </w:t>
      </w:r>
      <w:r w:rsidR="00195DE8">
        <w:rPr>
          <w:bCs/>
          <w:sz w:val="20"/>
          <w:szCs w:val="20"/>
        </w:rPr>
        <w:t xml:space="preserve">in </w:t>
      </w:r>
      <w:r w:rsidRPr="00BA15D6">
        <w:rPr>
          <w:bCs/>
          <w:sz w:val="20"/>
          <w:szCs w:val="20"/>
        </w:rPr>
        <w:t xml:space="preserve">March. </w:t>
      </w:r>
      <w:r>
        <w:rPr>
          <w:bCs/>
          <w:sz w:val="20"/>
          <w:szCs w:val="20"/>
        </w:rPr>
        <w:t>Like Connecticut</w:t>
      </w:r>
      <w:r w:rsidR="00F24E1B">
        <w:rPr>
          <w:bCs/>
          <w:sz w:val="20"/>
          <w:szCs w:val="20"/>
        </w:rPr>
        <w:t xml:space="preserve">, the property continues to benefit from </w:t>
      </w:r>
      <w:r w:rsidRPr="00BA15D6">
        <w:rPr>
          <w:bCs/>
          <w:sz w:val="20"/>
          <w:szCs w:val="20"/>
        </w:rPr>
        <w:t>strong cost containment measures implemented over the course of the pandemic. </w:t>
      </w:r>
      <w:r w:rsidR="00F24E1B">
        <w:rPr>
          <w:bCs/>
          <w:sz w:val="20"/>
          <w:szCs w:val="20"/>
        </w:rPr>
        <w:t>In a further sign that things are returning to normal, th</w:t>
      </w:r>
      <w:r w:rsidRPr="00BA15D6">
        <w:rPr>
          <w:bCs/>
          <w:sz w:val="20"/>
          <w:szCs w:val="20"/>
        </w:rPr>
        <w:t xml:space="preserve">e </w:t>
      </w:r>
      <w:r w:rsidR="008605B4">
        <w:rPr>
          <w:bCs/>
          <w:sz w:val="20"/>
          <w:szCs w:val="20"/>
        </w:rPr>
        <w:t xml:space="preserve">Commonwealth </w:t>
      </w:r>
      <w:r w:rsidR="00F24E1B">
        <w:rPr>
          <w:bCs/>
          <w:sz w:val="20"/>
          <w:szCs w:val="20"/>
        </w:rPr>
        <w:t xml:space="preserve">of Pennsylvania recently </w:t>
      </w:r>
      <w:r w:rsidR="008605B4">
        <w:rPr>
          <w:bCs/>
          <w:sz w:val="20"/>
          <w:szCs w:val="20"/>
        </w:rPr>
        <w:t>removed restrictions on casinos</w:t>
      </w:r>
      <w:r w:rsidRPr="00BA15D6">
        <w:rPr>
          <w:bCs/>
          <w:sz w:val="20"/>
          <w:szCs w:val="20"/>
        </w:rPr>
        <w:t xml:space="preserve"> serving alcoholic beverages</w:t>
      </w:r>
      <w:r w:rsidR="00F24E1B">
        <w:rPr>
          <w:bCs/>
          <w:sz w:val="20"/>
          <w:szCs w:val="20"/>
        </w:rPr>
        <w:t xml:space="preserve">. </w:t>
      </w:r>
      <w:r w:rsidR="00622B68" w:rsidRPr="00FB20BF">
        <w:rPr>
          <w:sz w:val="20"/>
          <w:szCs w:val="20"/>
        </w:rPr>
        <w:t xml:space="preserve">Adjusted EBITDA </w:t>
      </w:r>
      <w:r w:rsidR="001E0028">
        <w:rPr>
          <w:sz w:val="20"/>
          <w:szCs w:val="20"/>
        </w:rPr>
        <w:t>in</w:t>
      </w:r>
      <w:r w:rsidR="00622B68">
        <w:rPr>
          <w:sz w:val="20"/>
          <w:szCs w:val="20"/>
        </w:rPr>
        <w:t>creased</w:t>
      </w:r>
      <w:r w:rsidR="00622B68" w:rsidRPr="00FB20BF">
        <w:rPr>
          <w:sz w:val="20"/>
          <w:szCs w:val="20"/>
        </w:rPr>
        <w:t xml:space="preserve"> </w:t>
      </w:r>
      <w:r w:rsidR="001E0028">
        <w:rPr>
          <w:sz w:val="20"/>
          <w:szCs w:val="20"/>
        </w:rPr>
        <w:t>14.0</w:t>
      </w:r>
      <w:r w:rsidR="00622B68" w:rsidRPr="00FB20BF">
        <w:rPr>
          <w:sz w:val="20"/>
          <w:szCs w:val="20"/>
        </w:rPr>
        <w:t xml:space="preserve">% for the quarter, reflecting </w:t>
      </w:r>
      <w:r w:rsidR="00195DE8">
        <w:rPr>
          <w:sz w:val="20"/>
          <w:szCs w:val="20"/>
        </w:rPr>
        <w:t xml:space="preserve">the </w:t>
      </w:r>
      <w:r w:rsidR="00622B68">
        <w:rPr>
          <w:sz w:val="20"/>
          <w:szCs w:val="20"/>
        </w:rPr>
        <w:t xml:space="preserve">easier </w:t>
      </w:r>
      <w:r w:rsidR="008605B4">
        <w:rPr>
          <w:sz w:val="20"/>
          <w:szCs w:val="20"/>
        </w:rPr>
        <w:t>year-over-year</w:t>
      </w:r>
      <w:r w:rsidR="00622B68">
        <w:rPr>
          <w:sz w:val="20"/>
          <w:szCs w:val="20"/>
        </w:rPr>
        <w:t xml:space="preserve"> comparison. When compared to </w:t>
      </w:r>
      <w:r w:rsidR="008605B4">
        <w:rPr>
          <w:bCs/>
          <w:sz w:val="20"/>
          <w:szCs w:val="20"/>
        </w:rPr>
        <w:t>the second quarter of 2019</w:t>
      </w:r>
      <w:r w:rsidR="00622B68">
        <w:rPr>
          <w:sz w:val="20"/>
          <w:szCs w:val="20"/>
        </w:rPr>
        <w:t xml:space="preserve">, </w:t>
      </w:r>
      <w:r w:rsidR="00452393">
        <w:rPr>
          <w:sz w:val="20"/>
          <w:szCs w:val="20"/>
        </w:rPr>
        <w:t xml:space="preserve">Adjusted </w:t>
      </w:r>
      <w:r w:rsidR="00622B68">
        <w:rPr>
          <w:sz w:val="20"/>
          <w:szCs w:val="20"/>
        </w:rPr>
        <w:t xml:space="preserve">EBITDA decreased </w:t>
      </w:r>
      <w:r w:rsidR="00CD2276">
        <w:rPr>
          <w:sz w:val="20"/>
          <w:szCs w:val="20"/>
        </w:rPr>
        <w:t>16.0</w:t>
      </w:r>
      <w:r w:rsidR="00622B68">
        <w:rPr>
          <w:sz w:val="20"/>
          <w:szCs w:val="20"/>
        </w:rPr>
        <w:t xml:space="preserve">%, </w:t>
      </w:r>
      <w:r w:rsidR="00891DEC">
        <w:rPr>
          <w:sz w:val="20"/>
          <w:szCs w:val="20"/>
        </w:rPr>
        <w:t xml:space="preserve">however, the </w:t>
      </w:r>
      <w:r w:rsidR="00452393">
        <w:rPr>
          <w:sz w:val="20"/>
          <w:szCs w:val="20"/>
        </w:rPr>
        <w:t xml:space="preserve">Adjusted </w:t>
      </w:r>
      <w:r w:rsidR="00891DEC">
        <w:rPr>
          <w:sz w:val="20"/>
          <w:szCs w:val="20"/>
        </w:rPr>
        <w:t xml:space="preserve">EBITDA margin of 18.6% declined only 34 </w:t>
      </w:r>
      <w:r w:rsidR="008605B4">
        <w:rPr>
          <w:sz w:val="20"/>
          <w:szCs w:val="20"/>
        </w:rPr>
        <w:t>basis points</w:t>
      </w:r>
      <w:r w:rsidR="00891DEC">
        <w:rPr>
          <w:sz w:val="20"/>
          <w:szCs w:val="20"/>
        </w:rPr>
        <w:t xml:space="preserve">, </w:t>
      </w:r>
      <w:r w:rsidR="00622B68">
        <w:rPr>
          <w:sz w:val="20"/>
          <w:szCs w:val="20"/>
        </w:rPr>
        <w:t xml:space="preserve">reflecting the positive impact of </w:t>
      </w:r>
      <w:r w:rsidR="00622B68" w:rsidRPr="00FB20BF">
        <w:rPr>
          <w:sz w:val="20"/>
          <w:szCs w:val="20"/>
        </w:rPr>
        <w:t xml:space="preserve">cost reduction </w:t>
      </w:r>
      <w:r w:rsidR="00622B68">
        <w:rPr>
          <w:sz w:val="20"/>
          <w:szCs w:val="20"/>
        </w:rPr>
        <w:t xml:space="preserve">efforts undertaken </w:t>
      </w:r>
      <w:r w:rsidR="00622B68" w:rsidRPr="00FB20BF">
        <w:rPr>
          <w:sz w:val="20"/>
          <w:szCs w:val="20"/>
        </w:rPr>
        <w:t xml:space="preserve">at </w:t>
      </w:r>
      <w:r w:rsidR="00622B68">
        <w:rPr>
          <w:sz w:val="20"/>
          <w:szCs w:val="20"/>
        </w:rPr>
        <w:t>the</w:t>
      </w:r>
      <w:r w:rsidR="00622B68" w:rsidRPr="00FB20BF">
        <w:rPr>
          <w:sz w:val="20"/>
          <w:szCs w:val="20"/>
        </w:rPr>
        <w:t xml:space="preserve"> property</w:t>
      </w:r>
      <w:r w:rsidR="00622B68">
        <w:rPr>
          <w:sz w:val="20"/>
          <w:szCs w:val="20"/>
        </w:rPr>
        <w:t xml:space="preserve"> over the last year, offset by</w:t>
      </w:r>
      <w:r w:rsidR="00622B68" w:rsidRPr="00FB20BF">
        <w:rPr>
          <w:sz w:val="20"/>
          <w:szCs w:val="20"/>
        </w:rPr>
        <w:t xml:space="preserve"> the impact </w:t>
      </w:r>
      <w:r w:rsidR="00622B68">
        <w:rPr>
          <w:sz w:val="20"/>
          <w:szCs w:val="20"/>
        </w:rPr>
        <w:t>of</w:t>
      </w:r>
      <w:r w:rsidR="00622B68" w:rsidRPr="00FB20BF">
        <w:rPr>
          <w:sz w:val="20"/>
          <w:szCs w:val="20"/>
        </w:rPr>
        <w:t xml:space="preserve"> COVID</w:t>
      </w:r>
      <w:r w:rsidR="00622B68">
        <w:rPr>
          <w:sz w:val="20"/>
          <w:szCs w:val="20"/>
        </w:rPr>
        <w:t>-</w:t>
      </w:r>
      <w:r w:rsidR="00622B68" w:rsidRPr="00FB20BF">
        <w:rPr>
          <w:sz w:val="20"/>
          <w:szCs w:val="20"/>
        </w:rPr>
        <w:t>related reductions in non-gaming capaci</w:t>
      </w:r>
      <w:r w:rsidR="00622B68">
        <w:rPr>
          <w:sz w:val="20"/>
          <w:szCs w:val="20"/>
        </w:rPr>
        <w:t>ty and gaming volume.</w:t>
      </w:r>
      <w:r w:rsidR="00EF6AC8" w:rsidRPr="00AA5B53">
        <w:rPr>
          <w:sz w:val="20"/>
          <w:szCs w:val="20"/>
        </w:rPr>
        <w:t xml:space="preserve"> </w:t>
      </w:r>
      <w:r w:rsidR="00EF6AC8" w:rsidRPr="001E0028">
        <w:rPr>
          <w:sz w:val="20"/>
          <w:szCs w:val="20"/>
        </w:rPr>
        <w:t xml:space="preserve">Adjusting for the </w:t>
      </w:r>
      <w:r w:rsidR="00E4013D">
        <w:rPr>
          <w:sz w:val="20"/>
          <w:szCs w:val="20"/>
        </w:rPr>
        <w:t>strong table hold, weather</w:t>
      </w:r>
      <w:r w:rsidR="001E0028" w:rsidRPr="001E0028">
        <w:rPr>
          <w:sz w:val="20"/>
          <w:szCs w:val="20"/>
        </w:rPr>
        <w:t xml:space="preserve"> </w:t>
      </w:r>
      <w:r w:rsidR="00E4013D">
        <w:rPr>
          <w:sz w:val="20"/>
          <w:szCs w:val="20"/>
        </w:rPr>
        <w:t xml:space="preserve">and the closure, </w:t>
      </w:r>
      <w:r w:rsidR="00632D83" w:rsidRPr="001E0028">
        <w:rPr>
          <w:sz w:val="20"/>
          <w:szCs w:val="20"/>
        </w:rPr>
        <w:t>net</w:t>
      </w:r>
      <w:r w:rsidR="00EF6AC8" w:rsidRPr="001E0028">
        <w:rPr>
          <w:sz w:val="20"/>
          <w:szCs w:val="20"/>
        </w:rPr>
        <w:t xml:space="preserve"> revenues and </w:t>
      </w:r>
      <w:r w:rsidR="00452393">
        <w:rPr>
          <w:sz w:val="20"/>
          <w:szCs w:val="20"/>
        </w:rPr>
        <w:t>A</w:t>
      </w:r>
      <w:r w:rsidR="00452393" w:rsidRPr="001E0028">
        <w:rPr>
          <w:sz w:val="20"/>
          <w:szCs w:val="20"/>
        </w:rPr>
        <w:t xml:space="preserve">djusted </w:t>
      </w:r>
      <w:r w:rsidR="00EF6AC8" w:rsidRPr="001E0028">
        <w:rPr>
          <w:sz w:val="20"/>
          <w:szCs w:val="20"/>
        </w:rPr>
        <w:t xml:space="preserve">EBITDA </w:t>
      </w:r>
      <w:r w:rsidR="000901AE">
        <w:rPr>
          <w:sz w:val="20"/>
          <w:szCs w:val="20"/>
        </w:rPr>
        <w:t>vs</w:t>
      </w:r>
      <w:r w:rsidR="004E4AAD">
        <w:rPr>
          <w:sz w:val="20"/>
          <w:szCs w:val="20"/>
        </w:rPr>
        <w:t>.</w:t>
      </w:r>
      <w:r w:rsidR="000901AE">
        <w:rPr>
          <w:sz w:val="20"/>
          <w:szCs w:val="20"/>
        </w:rPr>
        <w:t xml:space="preserve"> </w:t>
      </w:r>
      <w:r w:rsidR="008605B4">
        <w:rPr>
          <w:bCs/>
          <w:sz w:val="20"/>
          <w:szCs w:val="20"/>
        </w:rPr>
        <w:t>the second quarter of 2019</w:t>
      </w:r>
      <w:r w:rsidR="000901AE">
        <w:rPr>
          <w:sz w:val="20"/>
          <w:szCs w:val="20"/>
        </w:rPr>
        <w:t xml:space="preserve"> </w:t>
      </w:r>
      <w:r w:rsidR="00EF6AC8" w:rsidRPr="001E0028">
        <w:rPr>
          <w:sz w:val="20"/>
          <w:szCs w:val="20"/>
        </w:rPr>
        <w:t xml:space="preserve">would have declined </w:t>
      </w:r>
      <w:r w:rsidR="00016566" w:rsidRPr="001E0028">
        <w:rPr>
          <w:sz w:val="20"/>
          <w:szCs w:val="20"/>
        </w:rPr>
        <w:t xml:space="preserve">approximately </w:t>
      </w:r>
      <w:r w:rsidR="007B74BB">
        <w:rPr>
          <w:sz w:val="20"/>
          <w:szCs w:val="20"/>
        </w:rPr>
        <w:t>1</w:t>
      </w:r>
      <w:r w:rsidR="00D24599">
        <w:rPr>
          <w:sz w:val="20"/>
          <w:szCs w:val="20"/>
        </w:rPr>
        <w:t>3.6</w:t>
      </w:r>
      <w:r w:rsidR="00EF6AC8" w:rsidRPr="001E0028">
        <w:rPr>
          <w:sz w:val="20"/>
          <w:szCs w:val="20"/>
        </w:rPr>
        <w:t xml:space="preserve">% and </w:t>
      </w:r>
      <w:r w:rsidR="002D50DE">
        <w:rPr>
          <w:sz w:val="20"/>
          <w:szCs w:val="20"/>
        </w:rPr>
        <w:t>15.5</w:t>
      </w:r>
      <w:r w:rsidR="00EF6AC8" w:rsidRPr="001E0028">
        <w:rPr>
          <w:sz w:val="20"/>
          <w:szCs w:val="20"/>
        </w:rPr>
        <w:t>%</w:t>
      </w:r>
      <w:r w:rsidR="00BD7127">
        <w:rPr>
          <w:sz w:val="20"/>
          <w:szCs w:val="20"/>
        </w:rPr>
        <w:t>,</w:t>
      </w:r>
      <w:r w:rsidR="00EF6AC8" w:rsidRPr="001E0028">
        <w:rPr>
          <w:sz w:val="20"/>
          <w:szCs w:val="20"/>
        </w:rPr>
        <w:t xml:space="preserve"> respectively</w:t>
      </w:r>
      <w:r w:rsidR="00BD7127">
        <w:rPr>
          <w:sz w:val="20"/>
          <w:szCs w:val="20"/>
        </w:rPr>
        <w:t>,</w:t>
      </w:r>
      <w:r w:rsidR="00EF6AC8" w:rsidRPr="001E0028">
        <w:rPr>
          <w:sz w:val="20"/>
          <w:szCs w:val="20"/>
        </w:rPr>
        <w:t xml:space="preserve"> in the quarter</w:t>
      </w:r>
      <w:r w:rsidR="004430D3">
        <w:rPr>
          <w:sz w:val="20"/>
          <w:szCs w:val="20"/>
        </w:rPr>
        <w:t xml:space="preserve">, with EBITDA margin </w:t>
      </w:r>
      <w:r w:rsidR="002D50DE">
        <w:rPr>
          <w:sz w:val="20"/>
          <w:szCs w:val="20"/>
        </w:rPr>
        <w:t xml:space="preserve">down </w:t>
      </w:r>
      <w:r w:rsidR="00D24599">
        <w:rPr>
          <w:sz w:val="20"/>
          <w:szCs w:val="20"/>
        </w:rPr>
        <w:t>44</w:t>
      </w:r>
      <w:r w:rsidR="004430D3">
        <w:rPr>
          <w:sz w:val="20"/>
          <w:szCs w:val="20"/>
        </w:rPr>
        <w:t xml:space="preserve"> </w:t>
      </w:r>
      <w:r w:rsidR="008605B4">
        <w:rPr>
          <w:sz w:val="20"/>
          <w:szCs w:val="20"/>
        </w:rPr>
        <w:t>basis points</w:t>
      </w:r>
      <w:r w:rsidR="004430D3">
        <w:rPr>
          <w:sz w:val="20"/>
          <w:szCs w:val="20"/>
        </w:rPr>
        <w:t xml:space="preserve"> at </w:t>
      </w:r>
      <w:r w:rsidR="002D50DE">
        <w:rPr>
          <w:sz w:val="20"/>
          <w:szCs w:val="20"/>
        </w:rPr>
        <w:t>18.6</w:t>
      </w:r>
      <w:r w:rsidR="004430D3">
        <w:rPr>
          <w:sz w:val="20"/>
          <w:szCs w:val="20"/>
        </w:rPr>
        <w:t>%</w:t>
      </w:r>
      <w:r w:rsidR="00632D83" w:rsidRPr="001E0028">
        <w:rPr>
          <w:sz w:val="20"/>
          <w:szCs w:val="20"/>
        </w:rPr>
        <w:t>.</w:t>
      </w:r>
    </w:p>
    <w:p w14:paraId="0A7E80C0" w14:textId="77777777" w:rsidR="0075441C" w:rsidRDefault="0075441C" w:rsidP="0075441C">
      <w:pPr>
        <w:rPr>
          <w:sz w:val="20"/>
          <w:szCs w:val="20"/>
        </w:rPr>
      </w:pPr>
    </w:p>
    <w:p w14:paraId="321DF841" w14:textId="77777777" w:rsidR="00132ECF" w:rsidRDefault="00132ECF" w:rsidP="00D6421F">
      <w:pPr>
        <w:jc w:val="both"/>
        <w:rPr>
          <w:sz w:val="20"/>
          <w:szCs w:val="20"/>
        </w:rPr>
      </w:pPr>
    </w:p>
    <w:p w14:paraId="5150F758" w14:textId="08BD4806" w:rsidR="006C6CEB" w:rsidRPr="006C6CEB" w:rsidRDefault="009C1098" w:rsidP="00D6421F">
      <w:pPr>
        <w:jc w:val="both"/>
        <w:rPr>
          <w:b/>
          <w:bCs/>
          <w:sz w:val="20"/>
          <w:szCs w:val="20"/>
        </w:rPr>
      </w:pPr>
      <w:r w:rsidRPr="009C1098">
        <w:rPr>
          <w:b/>
          <w:bCs/>
          <w:sz w:val="20"/>
          <w:szCs w:val="20"/>
        </w:rPr>
        <w:t xml:space="preserve">MGE Niagara </w:t>
      </w:r>
      <w:r w:rsidR="003E04E5">
        <w:rPr>
          <w:b/>
          <w:bCs/>
          <w:sz w:val="20"/>
          <w:szCs w:val="20"/>
        </w:rPr>
        <w:t>Resorts</w:t>
      </w:r>
      <w:r w:rsidR="006C6CEB" w:rsidRPr="006C6CEB">
        <w:rPr>
          <w:b/>
          <w:bCs/>
          <w:sz w:val="20"/>
          <w:szCs w:val="20"/>
        </w:rPr>
        <w:t xml:space="preserve"> </w:t>
      </w:r>
      <w:r w:rsidR="00D6421F" w:rsidRPr="006C6CEB">
        <w:rPr>
          <w:b/>
          <w:bCs/>
          <w:sz w:val="20"/>
          <w:szCs w:val="20"/>
        </w:rPr>
        <w:t xml:space="preserve">Operating </w:t>
      </w:r>
      <w:r w:rsidR="001456AC">
        <w:rPr>
          <w:b/>
          <w:bCs/>
          <w:sz w:val="20"/>
          <w:szCs w:val="20"/>
        </w:rPr>
        <w:t>R</w:t>
      </w:r>
      <w:r w:rsidR="00D6421F" w:rsidRPr="006C6CEB">
        <w:rPr>
          <w:b/>
          <w:bCs/>
          <w:sz w:val="20"/>
          <w:szCs w:val="20"/>
        </w:rPr>
        <w:t>esults</w:t>
      </w:r>
    </w:p>
    <w:p w14:paraId="4B0FACD5" w14:textId="3C93E5F2" w:rsidR="00D6421F" w:rsidRPr="006C6CEB" w:rsidRDefault="00D6421F" w:rsidP="00D6421F">
      <w:pPr>
        <w:jc w:val="both"/>
        <w:rPr>
          <w:bCs/>
          <w:i/>
          <w:sz w:val="16"/>
          <w:szCs w:val="16"/>
        </w:rPr>
      </w:pPr>
      <w:r w:rsidRPr="006C6CEB">
        <w:rPr>
          <w:bCs/>
          <w:i/>
          <w:sz w:val="16"/>
          <w:szCs w:val="16"/>
        </w:rPr>
        <w:t>(in thousands, unaudited)</w:t>
      </w:r>
      <w:r w:rsidR="006C6CEB" w:rsidRPr="006C6CEB">
        <w:rPr>
          <w:bCs/>
          <w:i/>
          <w:sz w:val="16"/>
          <w:szCs w:val="16"/>
        </w:rPr>
        <w:t xml:space="preserve"> </w:t>
      </w:r>
    </w:p>
    <w:p w14:paraId="33665719" w14:textId="0935324B" w:rsidR="00D6421F" w:rsidRDefault="006C6CEB" w:rsidP="00D6421F">
      <w:pPr>
        <w:jc w:val="both"/>
        <w:rPr>
          <w:bCs/>
          <w:sz w:val="20"/>
          <w:szCs w:val="20"/>
        </w:rPr>
      </w:pPr>
      <w:r>
        <w:rPr>
          <w:noProof/>
        </w:rPr>
        <w:drawing>
          <wp:inline distT="0" distB="0" distL="0" distR="0" wp14:anchorId="58D72CA1" wp14:editId="499A0E22">
            <wp:extent cx="5943600" cy="9144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14400"/>
                    </a:xfrm>
                    <a:prstGeom prst="rect">
                      <a:avLst/>
                    </a:prstGeom>
                    <a:noFill/>
                    <a:extLst/>
                  </pic:spPr>
                </pic:pic>
              </a:graphicData>
            </a:graphic>
          </wp:inline>
        </w:drawing>
      </w:r>
    </w:p>
    <w:p w14:paraId="78282D40" w14:textId="77777777" w:rsidR="00D6421F" w:rsidRDefault="00D6421F" w:rsidP="00D6421F">
      <w:pPr>
        <w:jc w:val="both"/>
        <w:rPr>
          <w:bCs/>
          <w:sz w:val="20"/>
          <w:szCs w:val="20"/>
        </w:rPr>
      </w:pPr>
    </w:p>
    <w:p w14:paraId="385CE1EB" w14:textId="1C3ED381" w:rsidR="0081211E" w:rsidRPr="00407BD3" w:rsidRDefault="00195DE8" w:rsidP="00407BD3">
      <w:pPr>
        <w:jc w:val="both"/>
        <w:rPr>
          <w:sz w:val="20"/>
          <w:szCs w:val="20"/>
        </w:rPr>
      </w:pPr>
      <w:r>
        <w:rPr>
          <w:sz w:val="20"/>
          <w:szCs w:val="20"/>
        </w:rPr>
        <w:t xml:space="preserve">The </w:t>
      </w:r>
      <w:r w:rsidR="0015252D">
        <w:rPr>
          <w:sz w:val="20"/>
          <w:szCs w:val="20"/>
        </w:rPr>
        <w:t xml:space="preserve">negative </w:t>
      </w:r>
      <w:r w:rsidR="00DC1F15">
        <w:rPr>
          <w:sz w:val="20"/>
          <w:szCs w:val="20"/>
        </w:rPr>
        <w:t xml:space="preserve">Adjusted </w:t>
      </w:r>
      <w:r w:rsidR="00BE2134">
        <w:rPr>
          <w:sz w:val="20"/>
          <w:szCs w:val="20"/>
        </w:rPr>
        <w:t xml:space="preserve">EBITDA at </w:t>
      </w:r>
      <w:r w:rsidR="00407BD3">
        <w:rPr>
          <w:sz w:val="20"/>
          <w:szCs w:val="20"/>
        </w:rPr>
        <w:t xml:space="preserve">MGE Niagara </w:t>
      </w:r>
      <w:r w:rsidR="00836DE2">
        <w:rPr>
          <w:sz w:val="20"/>
          <w:szCs w:val="20"/>
        </w:rPr>
        <w:t xml:space="preserve">Resorts </w:t>
      </w:r>
      <w:r w:rsidR="00BE2134">
        <w:rPr>
          <w:sz w:val="20"/>
          <w:szCs w:val="20"/>
        </w:rPr>
        <w:t>reflect</w:t>
      </w:r>
      <w:r>
        <w:rPr>
          <w:sz w:val="20"/>
          <w:szCs w:val="20"/>
        </w:rPr>
        <w:t>s</w:t>
      </w:r>
      <w:r w:rsidR="00BE2134">
        <w:rPr>
          <w:sz w:val="20"/>
          <w:szCs w:val="20"/>
        </w:rPr>
        <w:t xml:space="preserve"> the impact of the propert</w:t>
      </w:r>
      <w:r w:rsidR="004E0FEF">
        <w:rPr>
          <w:sz w:val="20"/>
          <w:szCs w:val="20"/>
        </w:rPr>
        <w:t>ies</w:t>
      </w:r>
      <w:r w:rsidR="00BE2134">
        <w:rPr>
          <w:sz w:val="20"/>
          <w:szCs w:val="20"/>
        </w:rPr>
        <w:t xml:space="preserve"> </w:t>
      </w:r>
      <w:r>
        <w:rPr>
          <w:sz w:val="20"/>
          <w:szCs w:val="20"/>
        </w:rPr>
        <w:t xml:space="preserve">remaining </w:t>
      </w:r>
      <w:r w:rsidR="00BE2134">
        <w:rPr>
          <w:sz w:val="20"/>
          <w:szCs w:val="20"/>
        </w:rPr>
        <w:t xml:space="preserve">temporarily </w:t>
      </w:r>
      <w:r w:rsidR="00407BD3">
        <w:rPr>
          <w:sz w:val="20"/>
          <w:szCs w:val="20"/>
        </w:rPr>
        <w:t>closed for the three months end</w:t>
      </w:r>
      <w:r w:rsidR="0070337D">
        <w:rPr>
          <w:sz w:val="20"/>
          <w:szCs w:val="20"/>
        </w:rPr>
        <w:t>ed</w:t>
      </w:r>
      <w:r w:rsidR="00407BD3">
        <w:rPr>
          <w:sz w:val="20"/>
          <w:szCs w:val="20"/>
        </w:rPr>
        <w:t xml:space="preserve"> </w:t>
      </w:r>
      <w:r w:rsidR="002A572A">
        <w:rPr>
          <w:sz w:val="20"/>
          <w:szCs w:val="20"/>
        </w:rPr>
        <w:t>March</w:t>
      </w:r>
      <w:r w:rsidR="00407BD3">
        <w:rPr>
          <w:sz w:val="20"/>
          <w:szCs w:val="20"/>
        </w:rPr>
        <w:t xml:space="preserve"> 3</w:t>
      </w:r>
      <w:r w:rsidR="00393375">
        <w:rPr>
          <w:sz w:val="20"/>
          <w:szCs w:val="20"/>
        </w:rPr>
        <w:t>1</w:t>
      </w:r>
      <w:r w:rsidR="00407BD3">
        <w:rPr>
          <w:sz w:val="20"/>
          <w:szCs w:val="20"/>
        </w:rPr>
        <w:t>, 202</w:t>
      </w:r>
      <w:r w:rsidR="002A572A">
        <w:rPr>
          <w:sz w:val="20"/>
          <w:szCs w:val="20"/>
        </w:rPr>
        <w:t>1</w:t>
      </w:r>
      <w:r w:rsidR="00BE2134">
        <w:rPr>
          <w:sz w:val="20"/>
          <w:szCs w:val="20"/>
        </w:rPr>
        <w:t xml:space="preserve"> due to COVID</w:t>
      </w:r>
      <w:r w:rsidR="00407BD3">
        <w:rPr>
          <w:sz w:val="20"/>
          <w:szCs w:val="20"/>
        </w:rPr>
        <w:t>-19</w:t>
      </w:r>
      <w:r w:rsidR="00BE2134">
        <w:rPr>
          <w:sz w:val="20"/>
          <w:szCs w:val="20"/>
        </w:rPr>
        <w:t xml:space="preserve"> </w:t>
      </w:r>
      <w:r w:rsidR="00D165C2">
        <w:rPr>
          <w:sz w:val="20"/>
          <w:szCs w:val="20"/>
        </w:rPr>
        <w:t xml:space="preserve">related </w:t>
      </w:r>
      <w:r w:rsidR="00BE2134">
        <w:rPr>
          <w:sz w:val="20"/>
          <w:szCs w:val="20"/>
        </w:rPr>
        <w:t xml:space="preserve">measures implemented by the Ontario </w:t>
      </w:r>
      <w:r w:rsidR="00BE2134">
        <w:rPr>
          <w:sz w:val="20"/>
          <w:szCs w:val="20"/>
        </w:rPr>
        <w:lastRenderedPageBreak/>
        <w:t>Government</w:t>
      </w:r>
      <w:r w:rsidR="00407BD3">
        <w:rPr>
          <w:sz w:val="20"/>
          <w:szCs w:val="20"/>
        </w:rPr>
        <w:t xml:space="preserve">. </w:t>
      </w:r>
      <w:r w:rsidR="00CA51D9">
        <w:rPr>
          <w:sz w:val="20"/>
          <w:szCs w:val="20"/>
        </w:rPr>
        <w:t xml:space="preserve">Despite the decline in Adjusted EBITDA, cash flows from the MGE Niagara Resorts during the quarter were approximately breakeven, as </w:t>
      </w:r>
      <w:r w:rsidR="004E0FEF">
        <w:rPr>
          <w:sz w:val="20"/>
          <w:szCs w:val="20"/>
        </w:rPr>
        <w:t xml:space="preserve">Fallsview rent payments have been deferred and </w:t>
      </w:r>
      <w:r w:rsidR="00CA51D9">
        <w:rPr>
          <w:sz w:val="20"/>
          <w:szCs w:val="20"/>
        </w:rPr>
        <w:t xml:space="preserve">the properties </w:t>
      </w:r>
      <w:r w:rsidR="00792FD2" w:rsidRPr="00407BD3">
        <w:rPr>
          <w:sz w:val="20"/>
          <w:szCs w:val="20"/>
        </w:rPr>
        <w:t xml:space="preserve">continue to </w:t>
      </w:r>
      <w:r w:rsidR="00407BD3">
        <w:rPr>
          <w:sz w:val="20"/>
          <w:szCs w:val="20"/>
        </w:rPr>
        <w:t xml:space="preserve">receive </w:t>
      </w:r>
      <w:r w:rsidR="00792FD2" w:rsidRPr="00407BD3">
        <w:rPr>
          <w:sz w:val="20"/>
          <w:szCs w:val="20"/>
        </w:rPr>
        <w:t xml:space="preserve">both the Fixed Service Provider Fee as well as </w:t>
      </w:r>
      <w:r w:rsidR="00A51289">
        <w:rPr>
          <w:sz w:val="20"/>
          <w:szCs w:val="20"/>
        </w:rPr>
        <w:t xml:space="preserve">reimbursement for </w:t>
      </w:r>
      <w:r w:rsidR="00792FD2" w:rsidRPr="00407BD3">
        <w:rPr>
          <w:sz w:val="20"/>
          <w:szCs w:val="20"/>
        </w:rPr>
        <w:t>Permitted Capital Expenditures while closed</w:t>
      </w:r>
      <w:r w:rsidR="00407BD3">
        <w:rPr>
          <w:sz w:val="20"/>
          <w:szCs w:val="20"/>
        </w:rPr>
        <w:t>.</w:t>
      </w:r>
      <w:r w:rsidR="00787183">
        <w:rPr>
          <w:sz w:val="20"/>
          <w:szCs w:val="20"/>
        </w:rPr>
        <w:t xml:space="preserve"> </w:t>
      </w:r>
      <w:r>
        <w:rPr>
          <w:sz w:val="20"/>
          <w:szCs w:val="20"/>
        </w:rPr>
        <w:t>While e</w:t>
      </w:r>
      <w:r w:rsidR="00CA51D9">
        <w:rPr>
          <w:sz w:val="20"/>
          <w:szCs w:val="20"/>
        </w:rPr>
        <w:t xml:space="preserve">fforts to </w:t>
      </w:r>
      <w:r w:rsidR="00787183">
        <w:rPr>
          <w:sz w:val="20"/>
          <w:szCs w:val="20"/>
        </w:rPr>
        <w:t>reopen the propert</w:t>
      </w:r>
      <w:r w:rsidR="00CA51D9">
        <w:rPr>
          <w:sz w:val="20"/>
          <w:szCs w:val="20"/>
        </w:rPr>
        <w:t>ies</w:t>
      </w:r>
      <w:r w:rsidR="00176356">
        <w:rPr>
          <w:sz w:val="20"/>
          <w:szCs w:val="20"/>
        </w:rPr>
        <w:t xml:space="preserve"> continue</w:t>
      </w:r>
      <w:r w:rsidR="00787183">
        <w:rPr>
          <w:sz w:val="20"/>
          <w:szCs w:val="20"/>
        </w:rPr>
        <w:t xml:space="preserve">, </w:t>
      </w:r>
      <w:r w:rsidR="00807C6B">
        <w:rPr>
          <w:sz w:val="20"/>
          <w:szCs w:val="20"/>
        </w:rPr>
        <w:t>we are unable to predict</w:t>
      </w:r>
      <w:r w:rsidR="00787183">
        <w:rPr>
          <w:sz w:val="20"/>
          <w:szCs w:val="20"/>
        </w:rPr>
        <w:t xml:space="preserve"> when the</w:t>
      </w:r>
      <w:r w:rsidR="00CA51D9">
        <w:rPr>
          <w:sz w:val="20"/>
          <w:szCs w:val="20"/>
        </w:rPr>
        <w:t>y</w:t>
      </w:r>
      <w:r w:rsidR="00787183">
        <w:rPr>
          <w:sz w:val="20"/>
          <w:szCs w:val="20"/>
        </w:rPr>
        <w:t xml:space="preserve"> will reopen at this time.</w:t>
      </w:r>
      <w:r w:rsidR="002A572A">
        <w:rPr>
          <w:sz w:val="20"/>
          <w:szCs w:val="20"/>
        </w:rPr>
        <w:t xml:space="preserve"> On March 31, 2021, the company entered into its sixth amendment and limited waiver </w:t>
      </w:r>
      <w:r>
        <w:rPr>
          <w:sz w:val="20"/>
          <w:szCs w:val="20"/>
        </w:rPr>
        <w:t xml:space="preserve">for </w:t>
      </w:r>
      <w:r w:rsidR="002A572A">
        <w:rPr>
          <w:sz w:val="20"/>
          <w:szCs w:val="20"/>
        </w:rPr>
        <w:t xml:space="preserve">the MGE Niagara credit facility. </w:t>
      </w:r>
      <w:r w:rsidR="005F48CA">
        <w:rPr>
          <w:sz w:val="20"/>
          <w:szCs w:val="20"/>
        </w:rPr>
        <w:t xml:space="preserve">As a result, the amendment and limited waiver </w:t>
      </w:r>
      <w:r>
        <w:rPr>
          <w:sz w:val="20"/>
          <w:szCs w:val="20"/>
        </w:rPr>
        <w:t xml:space="preserve">have been </w:t>
      </w:r>
      <w:r w:rsidR="005F48CA">
        <w:rPr>
          <w:sz w:val="20"/>
          <w:szCs w:val="20"/>
        </w:rPr>
        <w:t>extended through September 3</w:t>
      </w:r>
      <w:r>
        <w:rPr>
          <w:sz w:val="20"/>
          <w:szCs w:val="20"/>
        </w:rPr>
        <w:t>0</w:t>
      </w:r>
      <w:r w:rsidR="005F48CA">
        <w:rPr>
          <w:sz w:val="20"/>
          <w:szCs w:val="20"/>
        </w:rPr>
        <w:t>, 2021.</w:t>
      </w:r>
    </w:p>
    <w:p w14:paraId="5E53BCFA" w14:textId="77777777" w:rsidR="00B344CF" w:rsidRDefault="00787183" w:rsidP="006318F9">
      <w:pPr>
        <w:jc w:val="both"/>
        <w:rPr>
          <w:b/>
          <w:bCs/>
          <w:sz w:val="20"/>
          <w:szCs w:val="20"/>
        </w:rPr>
      </w:pPr>
      <w:r>
        <w:rPr>
          <w:sz w:val="20"/>
          <w:szCs w:val="20"/>
        </w:rPr>
        <w:t xml:space="preserve"> </w:t>
      </w:r>
    </w:p>
    <w:p w14:paraId="4D859D09" w14:textId="77777777" w:rsidR="00AD627D" w:rsidRDefault="00AD627D" w:rsidP="005C29C5">
      <w:pPr>
        <w:rPr>
          <w:b/>
          <w:bCs/>
          <w:sz w:val="20"/>
          <w:szCs w:val="20"/>
        </w:rPr>
      </w:pPr>
    </w:p>
    <w:p w14:paraId="56BB9359" w14:textId="77777777" w:rsidR="006C6CEB" w:rsidRDefault="005B30D5" w:rsidP="006C6CEB">
      <w:pPr>
        <w:jc w:val="both"/>
        <w:rPr>
          <w:b/>
          <w:bCs/>
          <w:i/>
          <w:sz w:val="20"/>
          <w:szCs w:val="20"/>
        </w:rPr>
      </w:pPr>
      <w:r>
        <w:rPr>
          <w:b/>
          <w:bCs/>
          <w:sz w:val="20"/>
          <w:szCs w:val="20"/>
        </w:rPr>
        <w:t>Management, Development and Other</w:t>
      </w:r>
      <w:r w:rsidR="006C6CEB">
        <w:rPr>
          <w:b/>
          <w:bCs/>
          <w:sz w:val="20"/>
          <w:szCs w:val="20"/>
        </w:rPr>
        <w:t xml:space="preserve"> </w:t>
      </w:r>
      <w:r w:rsidR="006C6CEB" w:rsidRPr="006C6CEB">
        <w:rPr>
          <w:b/>
          <w:bCs/>
          <w:sz w:val="20"/>
          <w:szCs w:val="20"/>
        </w:rPr>
        <w:t>Operating R</w:t>
      </w:r>
      <w:r w:rsidR="00EF0F7E" w:rsidRPr="006C6CEB">
        <w:rPr>
          <w:b/>
          <w:bCs/>
          <w:sz w:val="20"/>
          <w:szCs w:val="20"/>
        </w:rPr>
        <w:t xml:space="preserve">esults </w:t>
      </w:r>
    </w:p>
    <w:p w14:paraId="2EDC6405" w14:textId="4973CE88" w:rsidR="00EF0F7E" w:rsidRPr="006C6CEB" w:rsidRDefault="00EF0F7E" w:rsidP="006C6CEB">
      <w:pPr>
        <w:rPr>
          <w:b/>
          <w:bCs/>
          <w:sz w:val="20"/>
          <w:szCs w:val="20"/>
        </w:rPr>
      </w:pPr>
      <w:r w:rsidRPr="006C6CEB">
        <w:rPr>
          <w:bCs/>
          <w:i/>
          <w:sz w:val="16"/>
          <w:szCs w:val="16"/>
        </w:rPr>
        <w:t xml:space="preserve">(in thousands, unaudited) </w:t>
      </w:r>
      <w:r w:rsidR="00141F1E">
        <w:rPr>
          <w:noProof/>
        </w:rPr>
        <w:drawing>
          <wp:inline distT="0" distB="0" distL="0" distR="0" wp14:anchorId="49645F1B" wp14:editId="2AA15877">
            <wp:extent cx="5943600" cy="73152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31520"/>
                    </a:xfrm>
                    <a:prstGeom prst="rect">
                      <a:avLst/>
                    </a:prstGeom>
                    <a:noFill/>
                    <a:extLst/>
                  </pic:spPr>
                </pic:pic>
              </a:graphicData>
            </a:graphic>
          </wp:inline>
        </w:drawing>
      </w:r>
    </w:p>
    <w:p w14:paraId="57F5E3EA" w14:textId="77777777" w:rsidR="00EF0F7E" w:rsidRDefault="00EF0F7E" w:rsidP="00EF0F7E">
      <w:pPr>
        <w:jc w:val="both"/>
        <w:rPr>
          <w:bCs/>
          <w:sz w:val="20"/>
          <w:szCs w:val="20"/>
        </w:rPr>
      </w:pPr>
    </w:p>
    <w:p w14:paraId="0F356885" w14:textId="05A7744E" w:rsidR="00EF0F7E" w:rsidRDefault="00043F95" w:rsidP="00043F95">
      <w:pPr>
        <w:jc w:val="both"/>
        <w:rPr>
          <w:sz w:val="20"/>
          <w:szCs w:val="20"/>
        </w:rPr>
      </w:pPr>
      <w:r w:rsidRPr="007073CF">
        <w:rPr>
          <w:sz w:val="20"/>
          <w:szCs w:val="20"/>
        </w:rPr>
        <w:t>N</w:t>
      </w:r>
      <w:r w:rsidR="00076F2B" w:rsidRPr="007073CF">
        <w:rPr>
          <w:sz w:val="20"/>
          <w:szCs w:val="20"/>
        </w:rPr>
        <w:t>et revenues increased</w:t>
      </w:r>
      <w:r w:rsidRPr="007073CF">
        <w:rPr>
          <w:sz w:val="20"/>
          <w:szCs w:val="20"/>
        </w:rPr>
        <w:t xml:space="preserve"> </w:t>
      </w:r>
      <w:r w:rsidR="00076F2B" w:rsidRPr="007073CF">
        <w:rPr>
          <w:sz w:val="20"/>
          <w:szCs w:val="20"/>
        </w:rPr>
        <w:t xml:space="preserve">due to continued growth in management fees </w:t>
      </w:r>
      <w:r w:rsidR="00CA51D9" w:rsidRPr="007073CF">
        <w:rPr>
          <w:sz w:val="20"/>
          <w:szCs w:val="20"/>
        </w:rPr>
        <w:t>from</w:t>
      </w:r>
      <w:r w:rsidR="00076F2B" w:rsidRPr="007073CF">
        <w:rPr>
          <w:sz w:val="20"/>
          <w:szCs w:val="20"/>
        </w:rPr>
        <w:t xml:space="preserve"> ilani, driven by </w:t>
      </w:r>
      <w:r w:rsidR="0015252D">
        <w:rPr>
          <w:sz w:val="20"/>
          <w:szCs w:val="20"/>
        </w:rPr>
        <w:t>strong</w:t>
      </w:r>
      <w:r w:rsidR="0015252D" w:rsidRPr="007073CF">
        <w:rPr>
          <w:sz w:val="20"/>
          <w:szCs w:val="20"/>
        </w:rPr>
        <w:t xml:space="preserve"> </w:t>
      </w:r>
      <w:r w:rsidR="00DC1F15">
        <w:rPr>
          <w:sz w:val="20"/>
          <w:szCs w:val="20"/>
        </w:rPr>
        <w:t xml:space="preserve">Adjusted </w:t>
      </w:r>
      <w:r w:rsidR="00CB1A70" w:rsidRPr="007073CF">
        <w:rPr>
          <w:sz w:val="20"/>
          <w:szCs w:val="20"/>
        </w:rPr>
        <w:t xml:space="preserve">EBITDA growth at </w:t>
      </w:r>
      <w:r w:rsidR="00836DE2" w:rsidRPr="007073CF">
        <w:rPr>
          <w:sz w:val="20"/>
          <w:szCs w:val="20"/>
        </w:rPr>
        <w:t>that</w:t>
      </w:r>
      <w:r w:rsidR="00CB1A70" w:rsidRPr="007073CF">
        <w:rPr>
          <w:sz w:val="20"/>
          <w:szCs w:val="20"/>
        </w:rPr>
        <w:t xml:space="preserve"> property</w:t>
      </w:r>
      <w:r w:rsidR="00BA15D6" w:rsidRPr="007073CF">
        <w:rPr>
          <w:sz w:val="20"/>
          <w:szCs w:val="20"/>
        </w:rPr>
        <w:t xml:space="preserve"> and </w:t>
      </w:r>
      <w:r w:rsidR="00195DE8">
        <w:rPr>
          <w:sz w:val="20"/>
          <w:szCs w:val="20"/>
        </w:rPr>
        <w:t xml:space="preserve">the </w:t>
      </w:r>
      <w:r w:rsidR="00BA15D6" w:rsidRPr="007073CF">
        <w:rPr>
          <w:sz w:val="20"/>
          <w:szCs w:val="20"/>
        </w:rPr>
        <w:t xml:space="preserve">easier </w:t>
      </w:r>
      <w:r w:rsidR="008605B4">
        <w:rPr>
          <w:sz w:val="20"/>
          <w:szCs w:val="20"/>
        </w:rPr>
        <w:t>year-over-year</w:t>
      </w:r>
      <w:r w:rsidR="008605B4" w:rsidRPr="007073CF">
        <w:rPr>
          <w:sz w:val="20"/>
          <w:szCs w:val="20"/>
        </w:rPr>
        <w:t xml:space="preserve"> </w:t>
      </w:r>
      <w:r w:rsidR="00BA15D6" w:rsidRPr="007073CF">
        <w:rPr>
          <w:sz w:val="20"/>
          <w:szCs w:val="20"/>
        </w:rPr>
        <w:t>comparison</w:t>
      </w:r>
      <w:r w:rsidR="00C42C87" w:rsidRPr="007073CF">
        <w:rPr>
          <w:sz w:val="20"/>
          <w:szCs w:val="20"/>
        </w:rPr>
        <w:t>.</w:t>
      </w:r>
      <w:r w:rsidR="00752E5A" w:rsidRPr="007073CF">
        <w:rPr>
          <w:sz w:val="20"/>
          <w:szCs w:val="20"/>
        </w:rPr>
        <w:t xml:space="preserve"> This quarter was the first full </w:t>
      </w:r>
      <w:r w:rsidR="00BD7127">
        <w:rPr>
          <w:sz w:val="20"/>
          <w:szCs w:val="20"/>
        </w:rPr>
        <w:t xml:space="preserve">fiscal </w:t>
      </w:r>
      <w:r w:rsidR="00752E5A" w:rsidRPr="007073CF">
        <w:rPr>
          <w:sz w:val="20"/>
          <w:szCs w:val="20"/>
        </w:rPr>
        <w:t xml:space="preserve">quarter to benefit from the recently opened </w:t>
      </w:r>
      <w:r w:rsidR="00195DE8">
        <w:rPr>
          <w:sz w:val="20"/>
          <w:szCs w:val="20"/>
        </w:rPr>
        <w:t xml:space="preserve">ilani </w:t>
      </w:r>
      <w:r w:rsidR="00752E5A" w:rsidRPr="007073CF">
        <w:rPr>
          <w:sz w:val="20"/>
          <w:szCs w:val="20"/>
        </w:rPr>
        <w:t xml:space="preserve">parking facility. </w:t>
      </w:r>
      <w:r w:rsidR="00BA15D6" w:rsidRPr="007073CF">
        <w:rPr>
          <w:sz w:val="20"/>
          <w:szCs w:val="20"/>
        </w:rPr>
        <w:t xml:space="preserve">Subsequent to the end of the </w:t>
      </w:r>
      <w:r w:rsidR="00752E5A" w:rsidRPr="007073CF">
        <w:rPr>
          <w:sz w:val="20"/>
          <w:szCs w:val="20"/>
        </w:rPr>
        <w:t xml:space="preserve">quarter, </w:t>
      </w:r>
      <w:r w:rsidR="00195DE8">
        <w:rPr>
          <w:sz w:val="20"/>
          <w:szCs w:val="20"/>
        </w:rPr>
        <w:t>ilani</w:t>
      </w:r>
      <w:r w:rsidR="00752E5A" w:rsidRPr="007073CF">
        <w:rPr>
          <w:sz w:val="20"/>
          <w:szCs w:val="20"/>
        </w:rPr>
        <w:t xml:space="preserve"> </w:t>
      </w:r>
      <w:r w:rsidR="00BA15D6" w:rsidRPr="007073CF">
        <w:rPr>
          <w:sz w:val="20"/>
          <w:szCs w:val="20"/>
        </w:rPr>
        <w:t xml:space="preserve">announced </w:t>
      </w:r>
      <w:r w:rsidR="00752E5A" w:rsidRPr="007073CF">
        <w:rPr>
          <w:sz w:val="20"/>
          <w:szCs w:val="20"/>
        </w:rPr>
        <w:t xml:space="preserve">construction of its </w:t>
      </w:r>
      <w:r w:rsidR="007073CF" w:rsidRPr="007073CF">
        <w:rPr>
          <w:sz w:val="20"/>
          <w:szCs w:val="20"/>
        </w:rPr>
        <w:t>300</w:t>
      </w:r>
      <w:r w:rsidR="00195DE8">
        <w:rPr>
          <w:sz w:val="20"/>
          <w:szCs w:val="20"/>
        </w:rPr>
        <w:t>-</w:t>
      </w:r>
      <w:r w:rsidR="00752E5A" w:rsidRPr="007073CF">
        <w:rPr>
          <w:sz w:val="20"/>
          <w:szCs w:val="20"/>
        </w:rPr>
        <w:t xml:space="preserve">room hotel tower. </w:t>
      </w:r>
      <w:r w:rsidR="00C7556B">
        <w:rPr>
          <w:sz w:val="20"/>
          <w:szCs w:val="20"/>
        </w:rPr>
        <w:t xml:space="preserve">The significant improvement in </w:t>
      </w:r>
      <w:r w:rsidR="00A95CD3" w:rsidRPr="00B56668">
        <w:rPr>
          <w:sz w:val="20"/>
          <w:szCs w:val="20"/>
        </w:rPr>
        <w:t xml:space="preserve">Adjusted </w:t>
      </w:r>
      <w:r w:rsidR="00076F2B" w:rsidRPr="00B56668">
        <w:rPr>
          <w:sz w:val="20"/>
          <w:szCs w:val="20"/>
        </w:rPr>
        <w:t xml:space="preserve">EBITDA </w:t>
      </w:r>
      <w:r w:rsidR="00C7556B">
        <w:rPr>
          <w:sz w:val="20"/>
          <w:szCs w:val="20"/>
        </w:rPr>
        <w:t>was partially offset by</w:t>
      </w:r>
      <w:r w:rsidR="00076F2B" w:rsidRPr="00B56668">
        <w:rPr>
          <w:sz w:val="20"/>
          <w:szCs w:val="20"/>
        </w:rPr>
        <w:t xml:space="preserve"> higher expenses associated with ongoing </w:t>
      </w:r>
      <w:r w:rsidR="007B1ACF" w:rsidRPr="00B56668">
        <w:rPr>
          <w:sz w:val="20"/>
          <w:szCs w:val="20"/>
        </w:rPr>
        <w:t xml:space="preserve">domestic and international </w:t>
      </w:r>
      <w:r w:rsidR="00076F2B" w:rsidRPr="00B56668">
        <w:rPr>
          <w:sz w:val="20"/>
          <w:szCs w:val="20"/>
        </w:rPr>
        <w:t>development efforts</w:t>
      </w:r>
      <w:r w:rsidR="007B1ACF" w:rsidRPr="00B56668">
        <w:rPr>
          <w:sz w:val="20"/>
          <w:szCs w:val="20"/>
        </w:rPr>
        <w:t>.</w:t>
      </w:r>
    </w:p>
    <w:p w14:paraId="0EF767FF" w14:textId="77777777" w:rsidR="007B1ACF" w:rsidRDefault="007B1ACF" w:rsidP="0075441C">
      <w:pPr>
        <w:rPr>
          <w:b/>
          <w:bCs/>
          <w:sz w:val="20"/>
          <w:szCs w:val="20"/>
        </w:rPr>
      </w:pPr>
    </w:p>
    <w:p w14:paraId="445D6586" w14:textId="77777777" w:rsidR="005C29C5" w:rsidRDefault="005C29C5" w:rsidP="0075441C">
      <w:pPr>
        <w:rPr>
          <w:b/>
          <w:bCs/>
          <w:sz w:val="20"/>
          <w:szCs w:val="20"/>
        </w:rPr>
      </w:pPr>
    </w:p>
    <w:p w14:paraId="7BE91B73" w14:textId="56663675" w:rsidR="006C6CEB" w:rsidRPr="006C6CEB" w:rsidRDefault="00FD6D3F" w:rsidP="006C6CEB">
      <w:pPr>
        <w:jc w:val="both"/>
        <w:rPr>
          <w:b/>
          <w:bCs/>
          <w:sz w:val="20"/>
          <w:szCs w:val="20"/>
        </w:rPr>
      </w:pPr>
      <w:r w:rsidRPr="00CC55E1">
        <w:rPr>
          <w:b/>
          <w:bCs/>
          <w:sz w:val="20"/>
          <w:szCs w:val="20"/>
        </w:rPr>
        <w:t>Corporate</w:t>
      </w:r>
      <w:r w:rsidR="006C6CEB">
        <w:rPr>
          <w:b/>
          <w:bCs/>
          <w:sz w:val="20"/>
          <w:szCs w:val="20"/>
        </w:rPr>
        <w:t xml:space="preserve"> </w:t>
      </w:r>
      <w:r w:rsidR="000F070C" w:rsidRPr="006C6CEB">
        <w:rPr>
          <w:b/>
          <w:bCs/>
          <w:sz w:val="20"/>
          <w:szCs w:val="20"/>
        </w:rPr>
        <w:t xml:space="preserve">Operating </w:t>
      </w:r>
      <w:r w:rsidR="001456AC">
        <w:rPr>
          <w:b/>
          <w:bCs/>
          <w:sz w:val="20"/>
          <w:szCs w:val="20"/>
        </w:rPr>
        <w:t>R</w:t>
      </w:r>
      <w:r w:rsidR="000F070C" w:rsidRPr="006C6CEB">
        <w:rPr>
          <w:b/>
          <w:bCs/>
          <w:sz w:val="20"/>
          <w:szCs w:val="20"/>
        </w:rPr>
        <w:t>esults</w:t>
      </w:r>
    </w:p>
    <w:p w14:paraId="52D25FB3" w14:textId="0D736DEC" w:rsidR="00FD6D3F" w:rsidRPr="006C6CEB" w:rsidRDefault="00FD6D3F" w:rsidP="006C6CEB">
      <w:pPr>
        <w:rPr>
          <w:bCs/>
          <w:i/>
          <w:sz w:val="16"/>
          <w:szCs w:val="16"/>
        </w:rPr>
      </w:pPr>
      <w:r w:rsidRPr="006C6CEB">
        <w:rPr>
          <w:bCs/>
          <w:i/>
          <w:sz w:val="16"/>
          <w:szCs w:val="16"/>
        </w:rPr>
        <w:t>(in thousands, unaudited)</w:t>
      </w:r>
      <w:r w:rsidR="006C6CEB" w:rsidRPr="006C6CEB">
        <w:rPr>
          <w:bCs/>
          <w:i/>
          <w:sz w:val="16"/>
          <w:szCs w:val="16"/>
        </w:rPr>
        <w:t xml:space="preserve"> </w:t>
      </w:r>
    </w:p>
    <w:p w14:paraId="6BAE2992" w14:textId="77777777" w:rsidR="005A2D96" w:rsidRDefault="00961E3D" w:rsidP="0007587D">
      <w:pPr>
        <w:jc w:val="both"/>
        <w:rPr>
          <w:bCs/>
          <w:sz w:val="20"/>
          <w:szCs w:val="20"/>
        </w:rPr>
      </w:pPr>
      <w:r>
        <w:rPr>
          <w:noProof/>
        </w:rPr>
        <w:drawing>
          <wp:inline distT="0" distB="0" distL="0" distR="0" wp14:anchorId="0ACB95EA" wp14:editId="3F42ECD4">
            <wp:extent cx="5943600" cy="73152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31520"/>
                    </a:xfrm>
                    <a:prstGeom prst="rect">
                      <a:avLst/>
                    </a:prstGeom>
                    <a:noFill/>
                    <a:extLst/>
                  </pic:spPr>
                </pic:pic>
              </a:graphicData>
            </a:graphic>
          </wp:inline>
        </w:drawing>
      </w:r>
    </w:p>
    <w:p w14:paraId="137DB430" w14:textId="77777777" w:rsidR="00D87E14" w:rsidRDefault="00D87E14" w:rsidP="0007587D">
      <w:pPr>
        <w:jc w:val="both"/>
        <w:rPr>
          <w:bCs/>
          <w:sz w:val="20"/>
          <w:szCs w:val="20"/>
        </w:rPr>
      </w:pPr>
    </w:p>
    <w:p w14:paraId="58764983" w14:textId="49C74102" w:rsidR="00D0148D" w:rsidRDefault="00D0148D" w:rsidP="004B3D28">
      <w:pPr>
        <w:jc w:val="both"/>
        <w:rPr>
          <w:sz w:val="20"/>
          <w:szCs w:val="20"/>
        </w:rPr>
      </w:pPr>
      <w:r w:rsidRPr="005D1A73">
        <w:rPr>
          <w:sz w:val="20"/>
          <w:szCs w:val="20"/>
        </w:rPr>
        <w:t xml:space="preserve">The decline in </w:t>
      </w:r>
      <w:r w:rsidR="00DC1F15">
        <w:rPr>
          <w:sz w:val="20"/>
          <w:szCs w:val="20"/>
        </w:rPr>
        <w:t>A</w:t>
      </w:r>
      <w:r w:rsidR="00DC1F15" w:rsidRPr="005D1A73">
        <w:rPr>
          <w:sz w:val="20"/>
          <w:szCs w:val="20"/>
        </w:rPr>
        <w:t xml:space="preserve">djusted </w:t>
      </w:r>
      <w:r w:rsidR="005A3A13" w:rsidRPr="005D1A73">
        <w:rPr>
          <w:sz w:val="20"/>
          <w:szCs w:val="20"/>
        </w:rPr>
        <w:t xml:space="preserve">EBITDA </w:t>
      </w:r>
      <w:r w:rsidR="00807C6B" w:rsidRPr="005D1A73">
        <w:rPr>
          <w:sz w:val="20"/>
          <w:szCs w:val="20"/>
        </w:rPr>
        <w:t>was</w:t>
      </w:r>
      <w:r w:rsidR="005A3A13" w:rsidRPr="005D1A73">
        <w:rPr>
          <w:sz w:val="20"/>
          <w:szCs w:val="20"/>
        </w:rPr>
        <w:t xml:space="preserve"> </w:t>
      </w:r>
      <w:r w:rsidRPr="005D1A73">
        <w:rPr>
          <w:sz w:val="20"/>
          <w:szCs w:val="20"/>
        </w:rPr>
        <w:t>principal</w:t>
      </w:r>
      <w:r w:rsidR="003C5F01" w:rsidRPr="005D1A73">
        <w:rPr>
          <w:sz w:val="20"/>
          <w:szCs w:val="20"/>
        </w:rPr>
        <w:t>ly due to</w:t>
      </w:r>
      <w:r w:rsidR="005D1A73" w:rsidRPr="005D1A73">
        <w:rPr>
          <w:sz w:val="20"/>
          <w:szCs w:val="20"/>
        </w:rPr>
        <w:t xml:space="preserve"> </w:t>
      </w:r>
      <w:r w:rsidR="00DC1F15">
        <w:rPr>
          <w:sz w:val="20"/>
          <w:szCs w:val="20"/>
        </w:rPr>
        <w:t xml:space="preserve">higher labor </w:t>
      </w:r>
      <w:r w:rsidR="00835501">
        <w:rPr>
          <w:sz w:val="20"/>
          <w:szCs w:val="20"/>
        </w:rPr>
        <w:t>cost</w:t>
      </w:r>
      <w:r w:rsidR="00620C86">
        <w:rPr>
          <w:sz w:val="20"/>
          <w:szCs w:val="20"/>
        </w:rPr>
        <w:t>s</w:t>
      </w:r>
      <w:r w:rsidR="00835501">
        <w:rPr>
          <w:sz w:val="20"/>
          <w:szCs w:val="20"/>
        </w:rPr>
        <w:t xml:space="preserve"> </w:t>
      </w:r>
      <w:r w:rsidR="00DC1F15">
        <w:rPr>
          <w:sz w:val="20"/>
          <w:szCs w:val="20"/>
        </w:rPr>
        <w:t>in the current period due to</w:t>
      </w:r>
      <w:r w:rsidR="00620C86">
        <w:rPr>
          <w:sz w:val="20"/>
          <w:szCs w:val="20"/>
        </w:rPr>
        <w:t xml:space="preserve"> a</w:t>
      </w:r>
      <w:r w:rsidR="00DC1F15">
        <w:rPr>
          <w:sz w:val="20"/>
          <w:szCs w:val="20"/>
        </w:rPr>
        <w:t xml:space="preserve"> $1.2</w:t>
      </w:r>
      <w:r w:rsidR="00835501">
        <w:rPr>
          <w:sz w:val="20"/>
          <w:szCs w:val="20"/>
        </w:rPr>
        <w:t xml:space="preserve"> </w:t>
      </w:r>
      <w:r w:rsidR="00DC1F15">
        <w:rPr>
          <w:sz w:val="20"/>
          <w:szCs w:val="20"/>
        </w:rPr>
        <w:t>m</w:t>
      </w:r>
      <w:r w:rsidR="00835501">
        <w:rPr>
          <w:sz w:val="20"/>
          <w:szCs w:val="20"/>
        </w:rPr>
        <w:t>illion</w:t>
      </w:r>
      <w:r w:rsidR="00DC1F15">
        <w:rPr>
          <w:sz w:val="20"/>
          <w:szCs w:val="20"/>
        </w:rPr>
        <w:t xml:space="preserve"> severance charge and</w:t>
      </w:r>
      <w:r w:rsidR="00620C86">
        <w:rPr>
          <w:sz w:val="20"/>
          <w:szCs w:val="20"/>
        </w:rPr>
        <w:t xml:space="preserve"> a</w:t>
      </w:r>
      <w:r w:rsidR="00DC1F15">
        <w:rPr>
          <w:sz w:val="20"/>
          <w:szCs w:val="20"/>
        </w:rPr>
        <w:t xml:space="preserve"> lower</w:t>
      </w:r>
      <w:r w:rsidR="006601FA" w:rsidRPr="005D1A73">
        <w:rPr>
          <w:sz w:val="20"/>
          <w:szCs w:val="20"/>
        </w:rPr>
        <w:t xml:space="preserve"> inter</w:t>
      </w:r>
      <w:r w:rsidR="00836DE2" w:rsidRPr="005D1A73">
        <w:rPr>
          <w:sz w:val="20"/>
          <w:szCs w:val="20"/>
        </w:rPr>
        <w:t>-</w:t>
      </w:r>
      <w:r w:rsidR="006601FA" w:rsidRPr="005D1A73">
        <w:rPr>
          <w:sz w:val="20"/>
          <w:szCs w:val="20"/>
        </w:rPr>
        <w:t xml:space="preserve">segment labor allocation in the quarter as compared to the </w:t>
      </w:r>
      <w:r w:rsidR="002E07A1" w:rsidRPr="005D1A73">
        <w:rPr>
          <w:sz w:val="20"/>
          <w:szCs w:val="20"/>
        </w:rPr>
        <w:t>prior</w:t>
      </w:r>
      <w:r w:rsidR="007B681A">
        <w:rPr>
          <w:sz w:val="20"/>
          <w:szCs w:val="20"/>
        </w:rPr>
        <w:t xml:space="preserve"> year period.</w:t>
      </w:r>
    </w:p>
    <w:p w14:paraId="4CEF09A5" w14:textId="77777777" w:rsidR="00D0148D" w:rsidRDefault="00D0148D">
      <w:pPr>
        <w:rPr>
          <w:sz w:val="20"/>
          <w:szCs w:val="20"/>
        </w:rPr>
      </w:pPr>
    </w:p>
    <w:p w14:paraId="0951DDBB" w14:textId="77777777" w:rsidR="00E10FEB" w:rsidRDefault="00E10FEB">
      <w:pPr>
        <w:rPr>
          <w:b/>
          <w:bCs/>
          <w:sz w:val="20"/>
          <w:szCs w:val="20"/>
        </w:rPr>
      </w:pPr>
      <w:r>
        <w:rPr>
          <w:b/>
          <w:bCs/>
          <w:sz w:val="20"/>
          <w:szCs w:val="20"/>
        </w:rPr>
        <w:br w:type="page"/>
      </w:r>
    </w:p>
    <w:p w14:paraId="24B3F9CB" w14:textId="77777777" w:rsidR="004428DB" w:rsidRPr="00CC55E1" w:rsidRDefault="004428DB" w:rsidP="004428DB">
      <w:pPr>
        <w:jc w:val="both"/>
        <w:rPr>
          <w:b/>
          <w:i/>
          <w:iCs/>
          <w:sz w:val="20"/>
          <w:szCs w:val="20"/>
        </w:rPr>
      </w:pPr>
      <w:r w:rsidRPr="00CC55E1">
        <w:rPr>
          <w:b/>
          <w:sz w:val="20"/>
          <w:szCs w:val="20"/>
        </w:rPr>
        <w:t>Other Information</w:t>
      </w:r>
    </w:p>
    <w:p w14:paraId="2782B6B1" w14:textId="77777777" w:rsidR="00BD15BA" w:rsidRPr="00CC55E1" w:rsidRDefault="00BD15BA" w:rsidP="00E4493B">
      <w:pPr>
        <w:pStyle w:val="NormalWeb"/>
        <w:spacing w:before="0" w:after="0"/>
        <w:jc w:val="both"/>
        <w:rPr>
          <w:sz w:val="20"/>
          <w:szCs w:val="20"/>
        </w:rPr>
      </w:pPr>
    </w:p>
    <w:p w14:paraId="5CA764E3" w14:textId="77777777" w:rsidR="00252C22" w:rsidRPr="001962F5" w:rsidRDefault="00252C22" w:rsidP="00757562">
      <w:pPr>
        <w:jc w:val="both"/>
        <w:rPr>
          <w:b/>
          <w:i/>
          <w:sz w:val="20"/>
          <w:szCs w:val="20"/>
        </w:rPr>
      </w:pPr>
      <w:r w:rsidRPr="001962F5">
        <w:rPr>
          <w:b/>
          <w:i/>
          <w:sz w:val="20"/>
          <w:szCs w:val="20"/>
        </w:rPr>
        <w:t>Liquidity</w:t>
      </w:r>
    </w:p>
    <w:p w14:paraId="1CD64856" w14:textId="7C15C8F5" w:rsidR="00BA15D6" w:rsidRDefault="00BA15D6" w:rsidP="00BA15D6">
      <w:pPr>
        <w:autoSpaceDE w:val="0"/>
        <w:autoSpaceDN w:val="0"/>
        <w:adjustRightInd w:val="0"/>
        <w:jc w:val="both"/>
        <w:rPr>
          <w:bCs/>
          <w:sz w:val="20"/>
          <w:szCs w:val="20"/>
        </w:rPr>
      </w:pPr>
      <w:r w:rsidRPr="00624111">
        <w:rPr>
          <w:bCs/>
          <w:sz w:val="20"/>
          <w:szCs w:val="20"/>
        </w:rPr>
        <w:t>As of March 31, 2021 and September 30, 2020, MGE held cash and cash equivalents of $127.8 million and $112.7 million, respectively. Inclusive of letters of credit, which reduce borrowing availability, MGE had $</w:t>
      </w:r>
      <w:r w:rsidR="00EB6E62" w:rsidRPr="00624111">
        <w:rPr>
          <w:bCs/>
          <w:sz w:val="20"/>
          <w:szCs w:val="20"/>
        </w:rPr>
        <w:t>137.7</w:t>
      </w:r>
      <w:r w:rsidRPr="00624111">
        <w:rPr>
          <w:bCs/>
          <w:sz w:val="20"/>
          <w:szCs w:val="20"/>
        </w:rPr>
        <w:t xml:space="preserve"> million of borrowing capacity under its senior secured credit facility and line of credit as of March 31, 2021.</w:t>
      </w:r>
      <w:r w:rsidRPr="004B3D28">
        <w:rPr>
          <w:bCs/>
          <w:sz w:val="20"/>
          <w:szCs w:val="20"/>
        </w:rPr>
        <w:t xml:space="preserve"> </w:t>
      </w:r>
    </w:p>
    <w:p w14:paraId="63A1C5FC" w14:textId="77777777" w:rsidR="00430577" w:rsidRDefault="00430577" w:rsidP="00090680">
      <w:pPr>
        <w:autoSpaceDE w:val="0"/>
        <w:autoSpaceDN w:val="0"/>
        <w:adjustRightInd w:val="0"/>
        <w:jc w:val="both"/>
        <w:rPr>
          <w:bCs/>
          <w:sz w:val="20"/>
          <w:szCs w:val="20"/>
        </w:rPr>
      </w:pPr>
    </w:p>
    <w:p w14:paraId="50353DF8" w14:textId="77777777" w:rsidR="005C234B" w:rsidRDefault="005C234B" w:rsidP="005C234B">
      <w:pPr>
        <w:autoSpaceDE w:val="0"/>
        <w:autoSpaceDN w:val="0"/>
        <w:adjustRightInd w:val="0"/>
        <w:jc w:val="both"/>
        <w:rPr>
          <w:bCs/>
          <w:sz w:val="20"/>
          <w:szCs w:val="20"/>
        </w:rPr>
      </w:pPr>
    </w:p>
    <w:p w14:paraId="259742BD" w14:textId="3792F626" w:rsidR="005C234B" w:rsidRPr="00BA15D6" w:rsidRDefault="00BD7127" w:rsidP="005C234B">
      <w:pPr>
        <w:jc w:val="both"/>
        <w:rPr>
          <w:b/>
          <w:i/>
          <w:sz w:val="20"/>
          <w:szCs w:val="20"/>
        </w:rPr>
      </w:pPr>
      <w:r>
        <w:rPr>
          <w:b/>
          <w:i/>
          <w:sz w:val="20"/>
          <w:szCs w:val="20"/>
        </w:rPr>
        <w:t>January Refinancing Transaction</w:t>
      </w:r>
    </w:p>
    <w:p w14:paraId="36E818DD" w14:textId="2D62A3D9" w:rsidR="001A0852" w:rsidRDefault="006C7AB0" w:rsidP="005C234B">
      <w:pPr>
        <w:jc w:val="both"/>
        <w:rPr>
          <w:bCs/>
          <w:sz w:val="20"/>
          <w:szCs w:val="20"/>
        </w:rPr>
      </w:pPr>
      <w:r w:rsidRPr="00BA15D6">
        <w:rPr>
          <w:bCs/>
          <w:sz w:val="20"/>
          <w:szCs w:val="20"/>
        </w:rPr>
        <w:t>On</w:t>
      </w:r>
      <w:r w:rsidR="005C234B" w:rsidRPr="00BA15D6">
        <w:rPr>
          <w:bCs/>
          <w:sz w:val="20"/>
          <w:szCs w:val="20"/>
        </w:rPr>
        <w:t xml:space="preserve"> January 26, 2021, MGE </w:t>
      </w:r>
      <w:r w:rsidR="00C0338C" w:rsidRPr="00BA15D6">
        <w:rPr>
          <w:bCs/>
          <w:sz w:val="20"/>
          <w:szCs w:val="20"/>
        </w:rPr>
        <w:t>issued</w:t>
      </w:r>
      <w:r w:rsidR="005C234B" w:rsidRPr="00BA15D6">
        <w:rPr>
          <w:bCs/>
          <w:sz w:val="20"/>
          <w:szCs w:val="20"/>
        </w:rPr>
        <w:t xml:space="preserve"> $1.175 billion of 8.000% second priority senior secured notes due 2026</w:t>
      </w:r>
      <w:r w:rsidR="00C0338C" w:rsidRPr="00BA15D6">
        <w:rPr>
          <w:bCs/>
          <w:sz w:val="20"/>
          <w:szCs w:val="20"/>
        </w:rPr>
        <w:t xml:space="preserve"> (the “Notes”)</w:t>
      </w:r>
      <w:r w:rsidR="005C234B" w:rsidRPr="00BA15D6">
        <w:rPr>
          <w:bCs/>
          <w:sz w:val="20"/>
          <w:szCs w:val="20"/>
        </w:rPr>
        <w:t>.</w:t>
      </w:r>
      <w:r w:rsidR="0015252D">
        <w:rPr>
          <w:bCs/>
          <w:sz w:val="20"/>
          <w:szCs w:val="20"/>
        </w:rPr>
        <w:t xml:space="preserve"> </w:t>
      </w:r>
      <w:r w:rsidR="005C234B" w:rsidRPr="00BA15D6">
        <w:rPr>
          <w:bCs/>
          <w:sz w:val="20"/>
          <w:szCs w:val="20"/>
        </w:rPr>
        <w:t xml:space="preserve">The Company also entered into a </w:t>
      </w:r>
      <w:r w:rsidR="00C0338C" w:rsidRPr="00BA15D6">
        <w:rPr>
          <w:bCs/>
          <w:sz w:val="20"/>
          <w:szCs w:val="20"/>
        </w:rPr>
        <w:t>new c</w:t>
      </w:r>
      <w:r w:rsidR="005C234B" w:rsidRPr="00BA15D6">
        <w:rPr>
          <w:bCs/>
          <w:sz w:val="20"/>
          <w:szCs w:val="20"/>
        </w:rPr>
        <w:t xml:space="preserve">redit </w:t>
      </w:r>
      <w:r w:rsidR="00C0338C" w:rsidRPr="00BA15D6">
        <w:rPr>
          <w:bCs/>
          <w:sz w:val="20"/>
          <w:szCs w:val="20"/>
        </w:rPr>
        <w:t>a</w:t>
      </w:r>
      <w:r w:rsidR="005C234B" w:rsidRPr="00BA15D6">
        <w:rPr>
          <w:bCs/>
          <w:sz w:val="20"/>
          <w:szCs w:val="20"/>
        </w:rPr>
        <w:t>greement providing for approximately $263 million in a new revolving senior secured credit facility</w:t>
      </w:r>
      <w:r w:rsidR="00C0338C" w:rsidRPr="00BA15D6">
        <w:rPr>
          <w:bCs/>
          <w:sz w:val="20"/>
          <w:szCs w:val="20"/>
        </w:rPr>
        <w:t xml:space="preserve"> (the “New Senior Secured Credit Facility”)</w:t>
      </w:r>
      <w:r w:rsidR="005C234B" w:rsidRPr="00BA15D6">
        <w:rPr>
          <w:bCs/>
          <w:sz w:val="20"/>
          <w:szCs w:val="20"/>
        </w:rPr>
        <w:t>.</w:t>
      </w:r>
      <w:r w:rsidR="001A0852" w:rsidRPr="00BA15D6">
        <w:rPr>
          <w:bCs/>
          <w:sz w:val="20"/>
          <w:szCs w:val="20"/>
        </w:rPr>
        <w:t xml:space="preserve"> The Company applied the proceeds from the Notes and borrowings under the New Senior Secured Credit Facility to repay outstanding debt and to pay related fees and expenses. </w:t>
      </w:r>
      <w:r w:rsidR="005C234B" w:rsidRPr="00BA15D6">
        <w:rPr>
          <w:bCs/>
          <w:sz w:val="20"/>
          <w:szCs w:val="20"/>
        </w:rPr>
        <w:t xml:space="preserve">This </w:t>
      </w:r>
      <w:r w:rsidR="001A0852" w:rsidRPr="00BA15D6">
        <w:rPr>
          <w:bCs/>
          <w:sz w:val="20"/>
          <w:szCs w:val="20"/>
        </w:rPr>
        <w:t>transaction</w:t>
      </w:r>
      <w:r w:rsidR="005C234B" w:rsidRPr="00BA15D6">
        <w:rPr>
          <w:bCs/>
          <w:sz w:val="20"/>
          <w:szCs w:val="20"/>
        </w:rPr>
        <w:t xml:space="preserve"> remove</w:t>
      </w:r>
      <w:r w:rsidR="001A0852" w:rsidRPr="00BA15D6">
        <w:rPr>
          <w:bCs/>
          <w:sz w:val="20"/>
          <w:szCs w:val="20"/>
        </w:rPr>
        <w:t>d</w:t>
      </w:r>
      <w:r w:rsidR="005C234B" w:rsidRPr="00BA15D6">
        <w:rPr>
          <w:bCs/>
          <w:sz w:val="20"/>
          <w:szCs w:val="20"/>
        </w:rPr>
        <w:t xml:space="preserve"> all of the </w:t>
      </w:r>
      <w:r w:rsidR="008F3846" w:rsidRPr="00BA15D6">
        <w:rPr>
          <w:bCs/>
          <w:sz w:val="20"/>
          <w:szCs w:val="20"/>
        </w:rPr>
        <w:t>C</w:t>
      </w:r>
      <w:r w:rsidR="005C234B" w:rsidRPr="00BA15D6">
        <w:rPr>
          <w:bCs/>
          <w:sz w:val="20"/>
          <w:szCs w:val="20"/>
        </w:rPr>
        <w:t xml:space="preserve">ompany’s </w:t>
      </w:r>
      <w:r w:rsidR="008F3846" w:rsidRPr="00BA15D6">
        <w:rPr>
          <w:bCs/>
          <w:sz w:val="20"/>
          <w:szCs w:val="20"/>
        </w:rPr>
        <w:t xml:space="preserve">significant </w:t>
      </w:r>
      <w:r w:rsidR="005C234B" w:rsidRPr="00BA15D6">
        <w:rPr>
          <w:bCs/>
          <w:sz w:val="20"/>
          <w:szCs w:val="20"/>
        </w:rPr>
        <w:t>near-term m</w:t>
      </w:r>
      <w:r w:rsidR="00EA6843" w:rsidRPr="00BA15D6">
        <w:rPr>
          <w:bCs/>
          <w:sz w:val="20"/>
          <w:szCs w:val="20"/>
        </w:rPr>
        <w:t>aturities, with MGE’s nearest significant debt</w:t>
      </w:r>
      <w:r w:rsidR="005C234B" w:rsidRPr="00BA15D6">
        <w:rPr>
          <w:bCs/>
          <w:sz w:val="20"/>
          <w:szCs w:val="20"/>
        </w:rPr>
        <w:t xml:space="preserve"> maturity now </w:t>
      </w:r>
      <w:r w:rsidR="00EA6843" w:rsidRPr="00BA15D6">
        <w:rPr>
          <w:bCs/>
          <w:sz w:val="20"/>
          <w:szCs w:val="20"/>
        </w:rPr>
        <w:t>April</w:t>
      </w:r>
      <w:r w:rsidR="005C234B" w:rsidRPr="00BA15D6">
        <w:rPr>
          <w:bCs/>
          <w:sz w:val="20"/>
          <w:szCs w:val="20"/>
        </w:rPr>
        <w:t xml:space="preserve"> of 202</w:t>
      </w:r>
      <w:r w:rsidR="00EA6843" w:rsidRPr="00BA15D6">
        <w:rPr>
          <w:bCs/>
          <w:sz w:val="20"/>
          <w:szCs w:val="20"/>
        </w:rPr>
        <w:t>3</w:t>
      </w:r>
      <w:r w:rsidR="005C234B" w:rsidRPr="00BA15D6">
        <w:rPr>
          <w:bCs/>
          <w:sz w:val="20"/>
          <w:szCs w:val="20"/>
        </w:rPr>
        <w:t>, while also providing MGE with ample liquidity.</w:t>
      </w:r>
    </w:p>
    <w:p w14:paraId="010EA5B7" w14:textId="77777777" w:rsidR="00154636" w:rsidRPr="00F74A2F" w:rsidRDefault="00154636" w:rsidP="005C234B">
      <w:pPr>
        <w:jc w:val="both"/>
        <w:rPr>
          <w:i/>
          <w:sz w:val="20"/>
          <w:szCs w:val="20"/>
        </w:rPr>
      </w:pPr>
    </w:p>
    <w:p w14:paraId="29F7FF46" w14:textId="77777777" w:rsidR="00E10FEB" w:rsidRPr="00090680" w:rsidRDefault="00E10FEB" w:rsidP="00090680">
      <w:pPr>
        <w:autoSpaceDE w:val="0"/>
        <w:autoSpaceDN w:val="0"/>
        <w:adjustRightInd w:val="0"/>
        <w:jc w:val="both"/>
        <w:rPr>
          <w:bCs/>
          <w:sz w:val="20"/>
          <w:szCs w:val="20"/>
        </w:rPr>
      </w:pPr>
      <w:r>
        <w:rPr>
          <w:sz w:val="20"/>
          <w:szCs w:val="20"/>
          <w:highlight w:val="yellow"/>
        </w:rPr>
        <w:br w:type="page"/>
      </w:r>
    </w:p>
    <w:p w14:paraId="2A08F733" w14:textId="77777777" w:rsidR="00430577" w:rsidRPr="00757562" w:rsidRDefault="00430577" w:rsidP="00430577">
      <w:pPr>
        <w:autoSpaceDE w:val="0"/>
        <w:autoSpaceDN w:val="0"/>
        <w:adjustRightInd w:val="0"/>
        <w:rPr>
          <w:b/>
          <w:bCs/>
          <w:sz w:val="20"/>
          <w:szCs w:val="20"/>
        </w:rPr>
      </w:pPr>
      <w:r w:rsidRPr="00757562">
        <w:rPr>
          <w:b/>
          <w:bCs/>
          <w:sz w:val="20"/>
          <w:szCs w:val="20"/>
        </w:rPr>
        <w:t>Conference Call</w:t>
      </w:r>
    </w:p>
    <w:p w14:paraId="35002B8B" w14:textId="728B39F7" w:rsidR="00430577" w:rsidRPr="00D236B5" w:rsidRDefault="001971D4" w:rsidP="00430577">
      <w:pPr>
        <w:autoSpaceDE w:val="0"/>
        <w:autoSpaceDN w:val="0"/>
        <w:adjustRightInd w:val="0"/>
        <w:jc w:val="both"/>
        <w:rPr>
          <w:sz w:val="20"/>
          <w:szCs w:val="20"/>
        </w:rPr>
      </w:pPr>
      <w:r>
        <w:rPr>
          <w:sz w:val="20"/>
          <w:szCs w:val="20"/>
        </w:rPr>
        <w:t xml:space="preserve">MGE will host a conference call </w:t>
      </w:r>
      <w:r w:rsidR="00430577" w:rsidRPr="00D236B5">
        <w:rPr>
          <w:sz w:val="20"/>
          <w:szCs w:val="20"/>
        </w:rPr>
        <w:t xml:space="preserve">regarding its </w:t>
      </w:r>
      <w:r w:rsidR="006C7AB0">
        <w:rPr>
          <w:sz w:val="20"/>
          <w:szCs w:val="20"/>
        </w:rPr>
        <w:t>second</w:t>
      </w:r>
      <w:r w:rsidR="00430577" w:rsidRPr="00D236B5">
        <w:rPr>
          <w:sz w:val="20"/>
          <w:szCs w:val="20"/>
        </w:rPr>
        <w:t xml:space="preserve"> quarter of fiscal 20</w:t>
      </w:r>
      <w:r w:rsidR="00430577">
        <w:rPr>
          <w:sz w:val="20"/>
          <w:szCs w:val="20"/>
        </w:rPr>
        <w:t>21</w:t>
      </w:r>
      <w:r w:rsidR="00430577" w:rsidRPr="00D236B5">
        <w:rPr>
          <w:sz w:val="20"/>
          <w:szCs w:val="20"/>
        </w:rPr>
        <w:t xml:space="preserve"> operating results on </w:t>
      </w:r>
      <w:r w:rsidR="006C7AB0">
        <w:rPr>
          <w:sz w:val="20"/>
          <w:szCs w:val="20"/>
        </w:rPr>
        <w:t>May</w:t>
      </w:r>
      <w:r w:rsidR="00430577" w:rsidRPr="00D236B5">
        <w:rPr>
          <w:sz w:val="20"/>
          <w:szCs w:val="20"/>
        </w:rPr>
        <w:t xml:space="preserve"> </w:t>
      </w:r>
      <w:r w:rsidR="00A734CB">
        <w:rPr>
          <w:sz w:val="20"/>
          <w:szCs w:val="20"/>
        </w:rPr>
        <w:t>13</w:t>
      </w:r>
      <w:r w:rsidR="00430577">
        <w:rPr>
          <w:sz w:val="20"/>
          <w:szCs w:val="20"/>
        </w:rPr>
        <w:t>, 2021</w:t>
      </w:r>
      <w:r w:rsidR="00430577" w:rsidRPr="00D236B5">
        <w:rPr>
          <w:sz w:val="20"/>
          <w:szCs w:val="20"/>
        </w:rPr>
        <w:t xml:space="preserve"> at 11:00 a.m. (Eastern </w:t>
      </w:r>
      <w:r w:rsidR="00A734CB">
        <w:rPr>
          <w:sz w:val="20"/>
          <w:szCs w:val="20"/>
        </w:rPr>
        <w:t>Daylight</w:t>
      </w:r>
      <w:r w:rsidR="00430577" w:rsidRPr="00D236B5">
        <w:rPr>
          <w:sz w:val="20"/>
          <w:szCs w:val="20"/>
        </w:rPr>
        <w:t xml:space="preserve"> Time).</w:t>
      </w:r>
    </w:p>
    <w:p w14:paraId="629344AE" w14:textId="77777777" w:rsidR="00430577" w:rsidRPr="0029487F" w:rsidRDefault="00430577" w:rsidP="00430577">
      <w:pPr>
        <w:autoSpaceDE w:val="0"/>
        <w:autoSpaceDN w:val="0"/>
        <w:adjustRightInd w:val="0"/>
        <w:jc w:val="both"/>
        <w:rPr>
          <w:sz w:val="20"/>
          <w:szCs w:val="20"/>
          <w:highlight w:val="yellow"/>
        </w:rPr>
      </w:pPr>
    </w:p>
    <w:p w14:paraId="46BEACDA" w14:textId="77777777" w:rsidR="00430577" w:rsidRPr="00D236B5" w:rsidRDefault="00430577" w:rsidP="00430577">
      <w:pPr>
        <w:jc w:val="both"/>
        <w:rPr>
          <w:sz w:val="20"/>
          <w:szCs w:val="20"/>
        </w:rPr>
      </w:pPr>
      <w:r w:rsidRPr="00D236B5">
        <w:rPr>
          <w:sz w:val="20"/>
          <w:szCs w:val="20"/>
        </w:rPr>
        <w:t>Thos</w:t>
      </w:r>
      <w:r w:rsidR="00C31B76">
        <w:rPr>
          <w:sz w:val="20"/>
          <w:szCs w:val="20"/>
        </w:rPr>
        <w:t>e interested in participating on</w:t>
      </w:r>
      <w:r w:rsidRPr="00D236B5">
        <w:rPr>
          <w:sz w:val="20"/>
          <w:szCs w:val="20"/>
        </w:rPr>
        <w:t xml:space="preserve"> the call should dial as follows:</w:t>
      </w:r>
    </w:p>
    <w:p w14:paraId="1BF9FD11" w14:textId="77777777" w:rsidR="00C31B76" w:rsidRPr="00624111" w:rsidRDefault="00C31B76" w:rsidP="00C31B76">
      <w:pPr>
        <w:spacing w:before="100" w:beforeAutospacing="1" w:after="100" w:afterAutospacing="1"/>
        <w:rPr>
          <w:sz w:val="20"/>
          <w:szCs w:val="20"/>
        </w:rPr>
      </w:pPr>
      <w:r w:rsidRPr="00624111">
        <w:rPr>
          <w:sz w:val="20"/>
          <w:szCs w:val="20"/>
        </w:rPr>
        <w:t>(866) 901-1124</w:t>
      </w:r>
      <w:r w:rsidRPr="00624111">
        <w:rPr>
          <w:sz w:val="20"/>
          <w:szCs w:val="20"/>
        </w:rPr>
        <w:br/>
        <w:t>(918) 922-6131 (International)</w:t>
      </w:r>
    </w:p>
    <w:p w14:paraId="606E2ECB" w14:textId="2FADE316" w:rsidR="00C31B76" w:rsidRPr="000E68C2" w:rsidRDefault="00C31B76" w:rsidP="00C31B76">
      <w:pPr>
        <w:spacing w:before="100" w:beforeAutospacing="1" w:after="100" w:afterAutospacing="1"/>
        <w:rPr>
          <w:sz w:val="20"/>
          <w:szCs w:val="20"/>
        </w:rPr>
      </w:pPr>
      <w:r w:rsidRPr="00624111">
        <w:rPr>
          <w:sz w:val="20"/>
          <w:szCs w:val="20"/>
        </w:rPr>
        <w:t xml:space="preserve">Conference ID: </w:t>
      </w:r>
      <w:r w:rsidR="00A734CB">
        <w:rPr>
          <w:sz w:val="20"/>
          <w:szCs w:val="20"/>
        </w:rPr>
        <w:t>8181615</w:t>
      </w:r>
    </w:p>
    <w:p w14:paraId="7E0615BB" w14:textId="770E9DCE" w:rsidR="00430577" w:rsidRPr="00CC55E1" w:rsidRDefault="00430577" w:rsidP="00C31B76">
      <w:pPr>
        <w:pStyle w:val="BodyText2"/>
        <w:spacing w:line="240" w:lineRule="auto"/>
        <w:jc w:val="both"/>
        <w:rPr>
          <w:sz w:val="20"/>
          <w:szCs w:val="20"/>
        </w:rPr>
      </w:pPr>
      <w:r w:rsidRPr="00CC55E1">
        <w:rPr>
          <w:sz w:val="20"/>
          <w:szCs w:val="20"/>
        </w:rPr>
        <w:t>Please call five minutes in advance to ensure that you are connected prior to the initiation of the call. Questions and answers will be reserved for call-in analysts and investors.</w:t>
      </w:r>
      <w:r w:rsidR="00C31B76">
        <w:rPr>
          <w:sz w:val="20"/>
          <w:szCs w:val="20"/>
        </w:rPr>
        <w:t xml:space="preserve"> </w:t>
      </w:r>
      <w:r w:rsidRPr="00CC55E1">
        <w:rPr>
          <w:sz w:val="20"/>
          <w:szCs w:val="20"/>
        </w:rPr>
        <w:t xml:space="preserve">Interested parties also may listen to a taped replay of the entire conference call commencing two hours after the call’s completion on </w:t>
      </w:r>
      <w:r w:rsidR="006C7AB0">
        <w:rPr>
          <w:sz w:val="20"/>
          <w:szCs w:val="20"/>
        </w:rPr>
        <w:t>May</w:t>
      </w:r>
      <w:r w:rsidR="00C31B76">
        <w:rPr>
          <w:sz w:val="20"/>
          <w:szCs w:val="20"/>
        </w:rPr>
        <w:t xml:space="preserve"> </w:t>
      </w:r>
      <w:r w:rsidR="00A734CB">
        <w:rPr>
          <w:sz w:val="20"/>
          <w:szCs w:val="20"/>
        </w:rPr>
        <w:t>13</w:t>
      </w:r>
      <w:r>
        <w:rPr>
          <w:sz w:val="20"/>
          <w:szCs w:val="20"/>
        </w:rPr>
        <w:t>, 2021</w:t>
      </w:r>
      <w:r w:rsidRPr="00CC55E1">
        <w:rPr>
          <w:sz w:val="20"/>
          <w:szCs w:val="20"/>
        </w:rPr>
        <w:t xml:space="preserve">. This replay will run through </w:t>
      </w:r>
      <w:r w:rsidR="006C7AB0">
        <w:rPr>
          <w:sz w:val="20"/>
          <w:szCs w:val="20"/>
        </w:rPr>
        <w:t>May</w:t>
      </w:r>
      <w:r w:rsidR="00C31B76">
        <w:rPr>
          <w:sz w:val="20"/>
          <w:szCs w:val="20"/>
        </w:rPr>
        <w:t xml:space="preserve"> </w:t>
      </w:r>
      <w:r w:rsidR="00A734CB">
        <w:rPr>
          <w:sz w:val="20"/>
          <w:szCs w:val="20"/>
        </w:rPr>
        <w:t>27</w:t>
      </w:r>
      <w:r>
        <w:rPr>
          <w:sz w:val="20"/>
          <w:szCs w:val="20"/>
        </w:rPr>
        <w:t>, 2021</w:t>
      </w:r>
      <w:r w:rsidRPr="00CC55E1">
        <w:rPr>
          <w:sz w:val="20"/>
          <w:szCs w:val="20"/>
        </w:rPr>
        <w:t>.</w:t>
      </w:r>
    </w:p>
    <w:p w14:paraId="4A7CAE07" w14:textId="77777777" w:rsidR="00430577" w:rsidRPr="00CC55E1" w:rsidRDefault="00430577" w:rsidP="00430577">
      <w:pPr>
        <w:jc w:val="both"/>
        <w:rPr>
          <w:sz w:val="20"/>
          <w:szCs w:val="20"/>
        </w:rPr>
      </w:pPr>
    </w:p>
    <w:p w14:paraId="2C2D2F91" w14:textId="77777777" w:rsidR="00430577" w:rsidRPr="00CC55E1" w:rsidRDefault="00430577" w:rsidP="00430577">
      <w:pPr>
        <w:jc w:val="both"/>
        <w:rPr>
          <w:sz w:val="20"/>
          <w:szCs w:val="20"/>
        </w:rPr>
      </w:pPr>
      <w:r w:rsidRPr="00CC55E1">
        <w:rPr>
          <w:sz w:val="20"/>
          <w:szCs w:val="20"/>
        </w:rPr>
        <w:t>The access number for a taped replay of the conference call is as follows:</w:t>
      </w:r>
    </w:p>
    <w:p w14:paraId="5C868C2A" w14:textId="77777777" w:rsidR="00C31B76" w:rsidRPr="00624111" w:rsidRDefault="00C31B76" w:rsidP="00C31B76">
      <w:pPr>
        <w:spacing w:before="100" w:beforeAutospacing="1" w:after="100" w:afterAutospacing="1"/>
        <w:rPr>
          <w:sz w:val="20"/>
          <w:szCs w:val="20"/>
        </w:rPr>
      </w:pPr>
      <w:r w:rsidRPr="00624111">
        <w:rPr>
          <w:sz w:val="20"/>
          <w:szCs w:val="20"/>
        </w:rPr>
        <w:t>(855) 859-2056</w:t>
      </w:r>
      <w:r w:rsidRPr="00624111">
        <w:rPr>
          <w:sz w:val="20"/>
          <w:szCs w:val="20"/>
        </w:rPr>
        <w:br/>
        <w:t>(404) 537-3406 (International)</w:t>
      </w:r>
    </w:p>
    <w:p w14:paraId="30BC13D5" w14:textId="04085FE6" w:rsidR="00C31B76" w:rsidRPr="000E68C2" w:rsidRDefault="00C31B76" w:rsidP="00C31B76">
      <w:pPr>
        <w:spacing w:before="100" w:beforeAutospacing="1" w:after="100" w:afterAutospacing="1"/>
        <w:rPr>
          <w:sz w:val="20"/>
          <w:szCs w:val="20"/>
        </w:rPr>
      </w:pPr>
      <w:r w:rsidRPr="00624111">
        <w:rPr>
          <w:sz w:val="20"/>
          <w:szCs w:val="20"/>
        </w:rPr>
        <w:t xml:space="preserve">Conference ID: </w:t>
      </w:r>
      <w:r w:rsidR="00A734CB">
        <w:rPr>
          <w:sz w:val="20"/>
          <w:szCs w:val="20"/>
        </w:rPr>
        <w:t>8181615</w:t>
      </w:r>
    </w:p>
    <w:p w14:paraId="3A518D6C" w14:textId="77777777" w:rsidR="00430577" w:rsidRPr="000072D3" w:rsidRDefault="00430577" w:rsidP="00430577">
      <w:pPr>
        <w:jc w:val="both"/>
        <w:rPr>
          <w:sz w:val="20"/>
          <w:szCs w:val="20"/>
          <w:highlight w:val="lightGray"/>
        </w:rPr>
      </w:pPr>
      <w:r w:rsidRPr="00FB4BFF">
        <w:rPr>
          <w:b/>
          <w:sz w:val="20"/>
          <w:szCs w:val="20"/>
        </w:rPr>
        <w:t xml:space="preserve">About </w:t>
      </w:r>
      <w:r>
        <w:rPr>
          <w:b/>
          <w:sz w:val="20"/>
          <w:szCs w:val="20"/>
        </w:rPr>
        <w:t xml:space="preserve">Mohegan Gaming &amp; Entertainment </w:t>
      </w:r>
    </w:p>
    <w:p w14:paraId="65AB472B" w14:textId="1BF9D963" w:rsidR="00430577" w:rsidRDefault="00430577" w:rsidP="00430577">
      <w:pPr>
        <w:pStyle w:val="NormalWeb"/>
        <w:spacing w:after="0"/>
        <w:jc w:val="both"/>
        <w:rPr>
          <w:sz w:val="20"/>
          <w:szCs w:val="20"/>
        </w:rPr>
      </w:pPr>
      <w:r>
        <w:rPr>
          <w:sz w:val="20"/>
          <w:szCs w:val="20"/>
        </w:rPr>
        <w:t>MGE is</w:t>
      </w:r>
      <w:r w:rsidRPr="007A736E">
        <w:rPr>
          <w:sz w:val="20"/>
          <w:szCs w:val="20"/>
        </w:rPr>
        <w:t xml:space="preserve"> primarily engaged in the ownership, operation and development of integrated entertainment facilities, both domestically and internationally, including: (i) Mohegan Sun in Uncasville, Connecticut, (ii) Mohegan Sun Pocono in Plains Township, Pennsylvania, (iii) Niagara Fallsview Casino Resor</w:t>
      </w:r>
      <w:r w:rsidR="00135FB0">
        <w:rPr>
          <w:sz w:val="20"/>
          <w:szCs w:val="20"/>
        </w:rPr>
        <w:t>t, Casino Niagara and the</w:t>
      </w:r>
      <w:r w:rsidRPr="007A736E">
        <w:rPr>
          <w:sz w:val="20"/>
          <w:szCs w:val="20"/>
        </w:rPr>
        <w:t xml:space="preserve"> 5,000-seat Niagara Falls Entertainment Centre, all in Niagara Falls, Ca</w:t>
      </w:r>
      <w:r>
        <w:rPr>
          <w:sz w:val="20"/>
          <w:szCs w:val="20"/>
        </w:rPr>
        <w:t>nada</w:t>
      </w:r>
      <w:r w:rsidRPr="007A736E">
        <w:rPr>
          <w:sz w:val="20"/>
          <w:szCs w:val="20"/>
        </w:rPr>
        <w:t>, (iv) Resorts Casino Hotel in Atlantic City, New Jersey, (v) ilani Casino Resort in Clark County, Washington, (vi) Paragon Casino Resort in Marksville, Lo</w:t>
      </w:r>
      <w:r>
        <w:rPr>
          <w:sz w:val="20"/>
          <w:szCs w:val="20"/>
        </w:rPr>
        <w:t>uisiana</w:t>
      </w:r>
      <w:r w:rsidR="0002486A">
        <w:rPr>
          <w:sz w:val="20"/>
          <w:szCs w:val="20"/>
        </w:rPr>
        <w:t xml:space="preserve"> (vii) the Mohegan Sun Casino at Virgin Hotels Las Vegas</w:t>
      </w:r>
      <w:r>
        <w:rPr>
          <w:sz w:val="20"/>
          <w:szCs w:val="20"/>
        </w:rPr>
        <w:t xml:space="preserve"> </w:t>
      </w:r>
      <w:r w:rsidR="005157DD">
        <w:rPr>
          <w:sz w:val="20"/>
          <w:szCs w:val="20"/>
        </w:rPr>
        <w:t xml:space="preserve">in Nevada </w:t>
      </w:r>
      <w:r>
        <w:rPr>
          <w:sz w:val="20"/>
          <w:szCs w:val="20"/>
        </w:rPr>
        <w:t>and (vi</w:t>
      </w:r>
      <w:r w:rsidR="0002486A">
        <w:rPr>
          <w:sz w:val="20"/>
          <w:szCs w:val="20"/>
        </w:rPr>
        <w:t>i</w:t>
      </w:r>
      <w:r>
        <w:rPr>
          <w:sz w:val="20"/>
          <w:szCs w:val="20"/>
        </w:rPr>
        <w:t xml:space="preserve">) </w:t>
      </w:r>
      <w:r w:rsidRPr="00D378C3">
        <w:rPr>
          <w:rStyle w:val="strongchar"/>
          <w:color w:val="000000"/>
          <w:sz w:val="20"/>
          <w:szCs w:val="20"/>
        </w:rPr>
        <w:t>INSPIRE Entertainment Resort</w:t>
      </w:r>
      <w:r w:rsidRPr="007A736E">
        <w:rPr>
          <w:sz w:val="20"/>
          <w:szCs w:val="20"/>
        </w:rPr>
        <w:t>, a first-of-its-kind, integrated resort and casino under construction at Incheon International Airport in South Korea.</w:t>
      </w:r>
      <w:r>
        <w:rPr>
          <w:sz w:val="20"/>
          <w:szCs w:val="20"/>
        </w:rPr>
        <w:t xml:space="preserve"> </w:t>
      </w:r>
      <w:r w:rsidRPr="005F5228">
        <w:rPr>
          <w:sz w:val="20"/>
          <w:szCs w:val="20"/>
        </w:rPr>
        <w:t xml:space="preserve">For more information on MGE and </w:t>
      </w:r>
      <w:r w:rsidR="008605B4">
        <w:rPr>
          <w:sz w:val="20"/>
          <w:szCs w:val="20"/>
        </w:rPr>
        <w:t>its</w:t>
      </w:r>
      <w:r w:rsidR="00042875">
        <w:rPr>
          <w:sz w:val="20"/>
          <w:szCs w:val="20"/>
        </w:rPr>
        <w:t xml:space="preserve"> </w:t>
      </w:r>
      <w:r w:rsidRPr="005F5228">
        <w:rPr>
          <w:sz w:val="20"/>
          <w:szCs w:val="20"/>
        </w:rPr>
        <w:t xml:space="preserve">properties, visit </w:t>
      </w:r>
      <w:hyperlink r:id="rId14" w:history="1">
        <w:r w:rsidRPr="00BB7469">
          <w:rPr>
            <w:sz w:val="20"/>
            <w:szCs w:val="20"/>
          </w:rPr>
          <w:t>www.mohegangaming.com</w:t>
        </w:r>
      </w:hyperlink>
      <w:r>
        <w:rPr>
          <w:sz w:val="20"/>
          <w:szCs w:val="20"/>
        </w:rPr>
        <w:t>.</w:t>
      </w:r>
    </w:p>
    <w:p w14:paraId="76D61BC7" w14:textId="77777777" w:rsidR="00430577" w:rsidRPr="00CC55E1" w:rsidRDefault="00430577" w:rsidP="00430577">
      <w:pPr>
        <w:pStyle w:val="NormalWeb"/>
        <w:spacing w:after="0"/>
        <w:jc w:val="both"/>
        <w:rPr>
          <w:sz w:val="20"/>
          <w:szCs w:val="20"/>
        </w:rPr>
      </w:pPr>
    </w:p>
    <w:p w14:paraId="0EF4955C" w14:textId="77777777" w:rsidR="00430577" w:rsidRPr="00CC55E1" w:rsidRDefault="00430577" w:rsidP="00430577">
      <w:pPr>
        <w:pStyle w:val="NormalWeb"/>
        <w:spacing w:before="0" w:after="0"/>
        <w:jc w:val="both"/>
        <w:rPr>
          <w:b/>
          <w:sz w:val="20"/>
          <w:szCs w:val="20"/>
        </w:rPr>
      </w:pPr>
      <w:r w:rsidRPr="00CC55E1">
        <w:rPr>
          <w:b/>
          <w:sz w:val="20"/>
          <w:szCs w:val="20"/>
        </w:rPr>
        <w:t>Special Note Regarding Forward-Looking Statements</w:t>
      </w:r>
    </w:p>
    <w:p w14:paraId="5812ABD5" w14:textId="77777777" w:rsidR="00252C22" w:rsidRDefault="00430577" w:rsidP="00430577">
      <w:pPr>
        <w:pStyle w:val="NormalWeb"/>
        <w:spacing w:after="0"/>
        <w:jc w:val="both"/>
        <w:rPr>
          <w:sz w:val="20"/>
          <w:szCs w:val="20"/>
        </w:rPr>
      </w:pPr>
      <w:r w:rsidRPr="00CC55E1">
        <w:rPr>
          <w:sz w:val="20"/>
          <w:szCs w:val="20"/>
        </w:rPr>
        <w:t xml:space="preserve">Some information included in this press release may contain forward-looking statements, within the meaning of Section 27A of the Securities Act of 1933 and Section 21E of the Securities Exchange Act of 1934. These statements can sometimes be identified by the use of forward-looking words such as “may,” “will,” “anticipate,” “estimate,” “expect” or “intend” and similar expressions. Such forward-looking information may involve important risks and uncertainties that could significantly affect anticipated results in the future and, accordingly, such results may differ materially from those expressed in any forward-looking statements made by or on behalf of MGE. Information concerning potential factors that could affect MGE’s financial results is included in its Annual Report on Form 10-K for the fiscal year ended September 30, </w:t>
      </w:r>
      <w:r>
        <w:rPr>
          <w:sz w:val="20"/>
          <w:szCs w:val="20"/>
        </w:rPr>
        <w:t>2020</w:t>
      </w:r>
      <w:r w:rsidRPr="00CC55E1">
        <w:rPr>
          <w:sz w:val="20"/>
          <w:szCs w:val="20"/>
        </w:rPr>
        <w:t>, as well as in MGE’s other reports and filings with the Securities and Exchange Commission. Any forward-looking statements included in this press release are made only as of the date of this release. MGE does not undertake any obligation to update or supplement any forward-looking statements to reflect subsequent events or circumstances. MGE cannot assure that projected results or events will be achieved or will occur.</w:t>
      </w:r>
      <w:r w:rsidR="00252C22">
        <w:rPr>
          <w:sz w:val="20"/>
          <w:szCs w:val="20"/>
        </w:rPr>
        <w:br w:type="page"/>
      </w:r>
    </w:p>
    <w:p w14:paraId="5F56FA2C" w14:textId="54296761" w:rsidR="00995438" w:rsidRDefault="00A734CB" w:rsidP="0029487F">
      <w:pPr>
        <w:jc w:val="center"/>
        <w:rPr>
          <w:noProof/>
        </w:rPr>
      </w:pPr>
      <w:r w:rsidRPr="00A734CB">
        <w:rPr>
          <w:noProof/>
        </w:rPr>
        <w:drawing>
          <wp:inline distT="0" distB="0" distL="0" distR="0" wp14:anchorId="119A1439" wp14:editId="2F729E7F">
            <wp:extent cx="5943600" cy="45194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519441"/>
                    </a:xfrm>
                    <a:prstGeom prst="rect">
                      <a:avLst/>
                    </a:prstGeom>
                    <a:noFill/>
                    <a:ln>
                      <a:noFill/>
                    </a:ln>
                  </pic:spPr>
                </pic:pic>
              </a:graphicData>
            </a:graphic>
          </wp:inline>
        </w:drawing>
      </w:r>
      <w:r w:rsidR="00573E2C" w:rsidRPr="00573E2C">
        <w:rPr>
          <w:b/>
          <w:sz w:val="20"/>
          <w:szCs w:val="20"/>
        </w:rPr>
        <w:t xml:space="preserve"> </w:t>
      </w:r>
    </w:p>
    <w:p w14:paraId="26C84420" w14:textId="77777777" w:rsidR="005F575A" w:rsidRDefault="005F575A" w:rsidP="0029487F">
      <w:pPr>
        <w:jc w:val="center"/>
        <w:rPr>
          <w:b/>
          <w:sz w:val="20"/>
          <w:szCs w:val="20"/>
        </w:rPr>
      </w:pPr>
    </w:p>
    <w:p w14:paraId="6BEA46CE" w14:textId="77777777" w:rsidR="00995438" w:rsidRDefault="00995438" w:rsidP="0029487F">
      <w:pPr>
        <w:jc w:val="center"/>
        <w:rPr>
          <w:b/>
          <w:sz w:val="20"/>
          <w:szCs w:val="20"/>
        </w:rPr>
      </w:pPr>
    </w:p>
    <w:p w14:paraId="15AB3C1B" w14:textId="77777777" w:rsidR="00995438" w:rsidRDefault="00995438" w:rsidP="0029487F">
      <w:pPr>
        <w:jc w:val="center"/>
        <w:rPr>
          <w:b/>
          <w:sz w:val="20"/>
          <w:szCs w:val="20"/>
        </w:rPr>
      </w:pPr>
    </w:p>
    <w:p w14:paraId="652DA79B" w14:textId="77777777" w:rsidR="00995438" w:rsidRDefault="00995438" w:rsidP="0029487F">
      <w:pPr>
        <w:jc w:val="center"/>
        <w:rPr>
          <w:b/>
          <w:sz w:val="20"/>
          <w:szCs w:val="20"/>
        </w:rPr>
      </w:pPr>
    </w:p>
    <w:p w14:paraId="2383D04F" w14:textId="77777777" w:rsidR="00995438" w:rsidRDefault="00995438" w:rsidP="0029487F">
      <w:pPr>
        <w:jc w:val="center"/>
        <w:rPr>
          <w:b/>
          <w:sz w:val="20"/>
          <w:szCs w:val="20"/>
        </w:rPr>
      </w:pPr>
    </w:p>
    <w:p w14:paraId="12DB28DD" w14:textId="77777777" w:rsidR="00995438" w:rsidRDefault="00995438" w:rsidP="0029487F">
      <w:pPr>
        <w:jc w:val="center"/>
        <w:rPr>
          <w:b/>
          <w:sz w:val="20"/>
          <w:szCs w:val="20"/>
        </w:rPr>
      </w:pPr>
    </w:p>
    <w:p w14:paraId="7CBB68AB" w14:textId="77777777" w:rsidR="00995438" w:rsidRDefault="00995438" w:rsidP="0029487F">
      <w:pPr>
        <w:jc w:val="center"/>
        <w:rPr>
          <w:b/>
          <w:sz w:val="20"/>
          <w:szCs w:val="20"/>
        </w:rPr>
      </w:pPr>
    </w:p>
    <w:p w14:paraId="3CAB65C7" w14:textId="77777777" w:rsidR="00995438" w:rsidRDefault="00995438" w:rsidP="0029487F">
      <w:pPr>
        <w:jc w:val="center"/>
        <w:rPr>
          <w:b/>
          <w:sz w:val="20"/>
          <w:szCs w:val="20"/>
        </w:rPr>
      </w:pPr>
    </w:p>
    <w:p w14:paraId="166C4E4D" w14:textId="77777777" w:rsidR="00995438" w:rsidRDefault="00995438" w:rsidP="0029487F">
      <w:pPr>
        <w:jc w:val="center"/>
        <w:rPr>
          <w:b/>
          <w:sz w:val="20"/>
          <w:szCs w:val="20"/>
        </w:rPr>
      </w:pPr>
    </w:p>
    <w:p w14:paraId="54048CA1" w14:textId="77777777" w:rsidR="00995438" w:rsidRDefault="00995438" w:rsidP="0029487F">
      <w:pPr>
        <w:jc w:val="center"/>
        <w:rPr>
          <w:b/>
          <w:sz w:val="20"/>
          <w:szCs w:val="20"/>
        </w:rPr>
      </w:pPr>
    </w:p>
    <w:p w14:paraId="4D93E038" w14:textId="77777777" w:rsidR="00995438" w:rsidRDefault="00995438" w:rsidP="0029487F">
      <w:pPr>
        <w:jc w:val="center"/>
        <w:rPr>
          <w:b/>
          <w:sz w:val="20"/>
          <w:szCs w:val="20"/>
        </w:rPr>
      </w:pPr>
    </w:p>
    <w:p w14:paraId="3D0D951E" w14:textId="77777777" w:rsidR="00A866D3" w:rsidRDefault="00A866D3" w:rsidP="00593F2F">
      <w:pPr>
        <w:pStyle w:val="NormalWeb"/>
        <w:spacing w:after="0"/>
        <w:rPr>
          <w:noProof/>
        </w:rPr>
      </w:pPr>
    </w:p>
    <w:p w14:paraId="4D1E7265" w14:textId="77777777" w:rsidR="00A866D3" w:rsidRDefault="00A866D3" w:rsidP="00593F2F">
      <w:pPr>
        <w:pStyle w:val="NormalWeb"/>
        <w:spacing w:after="0"/>
        <w:rPr>
          <w:noProof/>
        </w:rPr>
      </w:pPr>
    </w:p>
    <w:p w14:paraId="24176602" w14:textId="77777777" w:rsidR="00A866D3" w:rsidRDefault="00A866D3" w:rsidP="00593F2F">
      <w:pPr>
        <w:pStyle w:val="NormalWeb"/>
        <w:spacing w:after="0"/>
        <w:rPr>
          <w:noProof/>
        </w:rPr>
      </w:pPr>
    </w:p>
    <w:p w14:paraId="30B121FC" w14:textId="77777777" w:rsidR="00A866D3" w:rsidRPr="00275364" w:rsidRDefault="00A866D3" w:rsidP="00593F2F">
      <w:pPr>
        <w:pStyle w:val="NormalWeb"/>
        <w:spacing w:after="0"/>
        <w:rPr>
          <w:b/>
          <w:sz w:val="20"/>
          <w:szCs w:val="20"/>
        </w:rPr>
      </w:pPr>
    </w:p>
    <w:p w14:paraId="1671906C" w14:textId="77777777" w:rsidR="007836C9" w:rsidRDefault="00071799" w:rsidP="004E31ED">
      <w:pPr>
        <w:pStyle w:val="NormalWeb"/>
        <w:spacing w:after="0"/>
        <w:ind w:left="-144" w:firstLine="54"/>
        <w:jc w:val="both"/>
        <w:rPr>
          <w:sz w:val="20"/>
          <w:szCs w:val="20"/>
        </w:rPr>
      </w:pPr>
      <w:r w:rsidRPr="00071799">
        <w:rPr>
          <w:sz w:val="20"/>
          <w:szCs w:val="20"/>
        </w:rPr>
        <w:t xml:space="preserve"> </w:t>
      </w:r>
      <w:r w:rsidR="00573E2C" w:rsidRPr="00573E2C">
        <w:t xml:space="preserve"> </w:t>
      </w:r>
      <w:r w:rsidR="007836C9">
        <w:rPr>
          <w:sz w:val="20"/>
          <w:szCs w:val="20"/>
        </w:rPr>
        <w:br w:type="page"/>
      </w:r>
    </w:p>
    <w:p w14:paraId="1DBE4AD7" w14:textId="456B0B42" w:rsidR="004428DB" w:rsidRPr="00CC55E1" w:rsidRDefault="00071799" w:rsidP="004428DB">
      <w:pPr>
        <w:rPr>
          <w:sz w:val="20"/>
          <w:szCs w:val="20"/>
        </w:rPr>
      </w:pPr>
      <w:r w:rsidRPr="00071799">
        <w:rPr>
          <w:sz w:val="20"/>
          <w:szCs w:val="20"/>
        </w:rPr>
        <w:t xml:space="preserve"> </w:t>
      </w:r>
      <w:r w:rsidR="0094457E" w:rsidRPr="0094457E">
        <w:rPr>
          <w:sz w:val="20"/>
          <w:szCs w:val="20"/>
        </w:rPr>
        <w:t xml:space="preserve"> </w:t>
      </w:r>
      <w:r w:rsidR="00A734CB" w:rsidRPr="00A734CB">
        <w:rPr>
          <w:noProof/>
        </w:rPr>
        <w:drawing>
          <wp:inline distT="0" distB="0" distL="0" distR="0" wp14:anchorId="1BFE11EC" wp14:editId="76565B27">
            <wp:extent cx="5943600" cy="47110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711029"/>
                    </a:xfrm>
                    <a:prstGeom prst="rect">
                      <a:avLst/>
                    </a:prstGeom>
                    <a:noFill/>
                    <a:ln>
                      <a:noFill/>
                    </a:ln>
                  </pic:spPr>
                </pic:pic>
              </a:graphicData>
            </a:graphic>
          </wp:inline>
        </w:drawing>
      </w:r>
    </w:p>
    <w:p w14:paraId="2849D826" w14:textId="4AF04868" w:rsidR="00F022BA" w:rsidRDefault="007836C9" w:rsidP="00F022BA">
      <w:pPr>
        <w:ind w:firstLine="540"/>
        <w:rPr>
          <w:b/>
          <w:bCs/>
          <w:sz w:val="20"/>
          <w:szCs w:val="20"/>
        </w:rPr>
      </w:pPr>
      <w:r>
        <w:rPr>
          <w:b/>
          <w:bCs/>
          <w:sz w:val="20"/>
          <w:szCs w:val="20"/>
        </w:rPr>
        <w:br w:type="page"/>
      </w:r>
    </w:p>
    <w:p w14:paraId="7F16887B" w14:textId="4C25B816" w:rsidR="00A734CB" w:rsidRDefault="00A734CB" w:rsidP="00F022BA">
      <w:pPr>
        <w:ind w:firstLine="540"/>
        <w:rPr>
          <w:b/>
          <w:bCs/>
          <w:sz w:val="20"/>
          <w:szCs w:val="20"/>
        </w:rPr>
      </w:pPr>
    </w:p>
    <w:p w14:paraId="5E141163" w14:textId="08FC78AC" w:rsidR="00A734CB" w:rsidRDefault="00A734CB" w:rsidP="00F022BA">
      <w:pPr>
        <w:ind w:firstLine="540"/>
        <w:rPr>
          <w:b/>
          <w:bCs/>
          <w:sz w:val="20"/>
          <w:szCs w:val="20"/>
        </w:rPr>
      </w:pPr>
    </w:p>
    <w:p w14:paraId="58AE14F5" w14:textId="34DD86DC" w:rsidR="00A734CB" w:rsidRDefault="00FF1789" w:rsidP="00624111">
      <w:pPr>
        <w:rPr>
          <w:b/>
          <w:bCs/>
          <w:sz w:val="20"/>
          <w:szCs w:val="20"/>
        </w:rPr>
      </w:pPr>
      <w:r>
        <w:rPr>
          <w:noProof/>
        </w:rPr>
        <w:drawing>
          <wp:inline distT="0" distB="0" distL="0" distR="0" wp14:anchorId="2A3D8D3F" wp14:editId="76A6E652">
            <wp:extent cx="5943600" cy="3877945"/>
            <wp:effectExtent l="0" t="0" r="0" b="825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877945"/>
                    </a:xfrm>
                    <a:prstGeom prst="rect">
                      <a:avLst/>
                    </a:prstGeom>
                    <a:noFill/>
                    <a:extLst/>
                  </pic:spPr>
                </pic:pic>
              </a:graphicData>
            </a:graphic>
          </wp:inline>
        </w:drawing>
      </w:r>
    </w:p>
    <w:p w14:paraId="0CFE7C80" w14:textId="77777777" w:rsidR="00A734CB" w:rsidRDefault="00A734CB" w:rsidP="004428DB">
      <w:pPr>
        <w:jc w:val="both"/>
        <w:rPr>
          <w:b/>
          <w:bCs/>
          <w:sz w:val="20"/>
          <w:szCs w:val="20"/>
        </w:rPr>
      </w:pPr>
    </w:p>
    <w:p w14:paraId="33F5EC91" w14:textId="75C47662" w:rsidR="004428DB" w:rsidRPr="00CC55E1" w:rsidRDefault="004428DB" w:rsidP="004428DB">
      <w:pPr>
        <w:jc w:val="both"/>
        <w:rPr>
          <w:sz w:val="20"/>
          <w:szCs w:val="20"/>
        </w:rPr>
      </w:pPr>
      <w:r w:rsidRPr="00CC55E1">
        <w:rPr>
          <w:b/>
          <w:bCs/>
          <w:sz w:val="20"/>
          <w:szCs w:val="20"/>
        </w:rPr>
        <w:t>Adjusted EBITDA Explanation:</w:t>
      </w:r>
    </w:p>
    <w:p w14:paraId="7C814A71" w14:textId="7E8EF47C" w:rsidR="00252C22" w:rsidRPr="00BD1663" w:rsidRDefault="00CE1E41" w:rsidP="004428DB">
      <w:pPr>
        <w:jc w:val="both"/>
        <w:rPr>
          <w:sz w:val="20"/>
          <w:szCs w:val="20"/>
        </w:rPr>
      </w:pPr>
      <w:r w:rsidRPr="00CC55E1">
        <w:rPr>
          <w:sz w:val="20"/>
          <w:szCs w:val="20"/>
        </w:rPr>
        <w:t>Net income</w:t>
      </w:r>
      <w:r w:rsidR="004428DB" w:rsidRPr="00CC55E1">
        <w:rPr>
          <w:sz w:val="20"/>
          <w:szCs w:val="20"/>
        </w:rPr>
        <w:t xml:space="preserve"> before interest, income taxes, depreciation and amortization, or EBITDA, is a commonly used measure of performance in the c</w:t>
      </w:r>
      <w:r w:rsidR="009545E8">
        <w:rPr>
          <w:sz w:val="20"/>
          <w:szCs w:val="20"/>
        </w:rPr>
        <w:t>asino and hospitality industry.</w:t>
      </w:r>
      <w:r w:rsidR="00B06863">
        <w:rPr>
          <w:sz w:val="20"/>
          <w:szCs w:val="20"/>
        </w:rPr>
        <w:t xml:space="preserve"> </w:t>
      </w:r>
      <w:r w:rsidR="004428DB" w:rsidRPr="00CC55E1">
        <w:rPr>
          <w:sz w:val="20"/>
          <w:szCs w:val="20"/>
        </w:rPr>
        <w:t>EBITDA is not a measure of performance calculated in acc</w:t>
      </w:r>
      <w:r w:rsidR="00287D5F" w:rsidRPr="00CC55E1">
        <w:rPr>
          <w:sz w:val="20"/>
          <w:szCs w:val="20"/>
        </w:rPr>
        <w:t>ordance with GAAP. MGE</w:t>
      </w:r>
      <w:r w:rsidR="004428DB" w:rsidRPr="00CC55E1">
        <w:rPr>
          <w:sz w:val="20"/>
          <w:szCs w:val="20"/>
        </w:rPr>
        <w:t xml:space="preserve"> </w:t>
      </w:r>
      <w:r w:rsidR="004428DB" w:rsidRPr="00BD1663">
        <w:rPr>
          <w:sz w:val="20"/>
          <w:szCs w:val="20"/>
        </w:rPr>
        <w:t xml:space="preserve">historically has evaluated its operating performance with the non-GAAP measure, Adjusted EBITDA, </w:t>
      </w:r>
      <w:r w:rsidR="004428DB" w:rsidRPr="00A97BC1">
        <w:rPr>
          <w:sz w:val="20"/>
          <w:szCs w:val="20"/>
        </w:rPr>
        <w:t>which as used in this press relea</w:t>
      </w:r>
      <w:r w:rsidRPr="00A97BC1">
        <w:rPr>
          <w:sz w:val="20"/>
          <w:szCs w:val="20"/>
        </w:rPr>
        <w:t xml:space="preserve">se, </w:t>
      </w:r>
      <w:r w:rsidR="00D90A88">
        <w:rPr>
          <w:sz w:val="20"/>
          <w:szCs w:val="20"/>
        </w:rPr>
        <w:t xml:space="preserve">primarily </w:t>
      </w:r>
      <w:r w:rsidRPr="00A97BC1">
        <w:rPr>
          <w:sz w:val="20"/>
          <w:szCs w:val="20"/>
        </w:rPr>
        <w:t xml:space="preserve">represents net </w:t>
      </w:r>
      <w:r w:rsidR="00C147C0">
        <w:rPr>
          <w:sz w:val="20"/>
          <w:szCs w:val="20"/>
        </w:rPr>
        <w:t>loss</w:t>
      </w:r>
      <w:r w:rsidR="004428DB" w:rsidRPr="00A97BC1">
        <w:rPr>
          <w:sz w:val="20"/>
          <w:szCs w:val="20"/>
        </w:rPr>
        <w:t xml:space="preserve"> before interest,</w:t>
      </w:r>
      <w:r w:rsidR="00A566AC" w:rsidRPr="00A97BC1">
        <w:rPr>
          <w:sz w:val="20"/>
          <w:szCs w:val="20"/>
        </w:rPr>
        <w:t xml:space="preserve"> </w:t>
      </w:r>
      <w:r w:rsidR="00430577">
        <w:rPr>
          <w:sz w:val="20"/>
          <w:szCs w:val="20"/>
        </w:rPr>
        <w:t>taxes</w:t>
      </w:r>
      <w:r w:rsidR="00C147C0">
        <w:rPr>
          <w:sz w:val="20"/>
          <w:szCs w:val="20"/>
        </w:rPr>
        <w:t>,</w:t>
      </w:r>
      <w:r w:rsidR="00430577">
        <w:rPr>
          <w:sz w:val="20"/>
          <w:szCs w:val="20"/>
        </w:rPr>
        <w:t xml:space="preserve"> </w:t>
      </w:r>
      <w:r w:rsidR="00A566AC" w:rsidRPr="00A97BC1">
        <w:rPr>
          <w:sz w:val="20"/>
          <w:szCs w:val="20"/>
        </w:rPr>
        <w:t>depreciation and amortization</w:t>
      </w:r>
      <w:r w:rsidR="00C147C0">
        <w:rPr>
          <w:sz w:val="20"/>
          <w:szCs w:val="20"/>
        </w:rPr>
        <w:t xml:space="preserve"> and impairment charges.</w:t>
      </w:r>
    </w:p>
    <w:p w14:paraId="0711D41B" w14:textId="77777777" w:rsidR="00252C22" w:rsidRPr="00BD1663" w:rsidRDefault="00252C22" w:rsidP="004428DB">
      <w:pPr>
        <w:jc w:val="both"/>
        <w:rPr>
          <w:sz w:val="20"/>
          <w:szCs w:val="20"/>
        </w:rPr>
      </w:pPr>
    </w:p>
    <w:p w14:paraId="5202B772" w14:textId="77777777" w:rsidR="004428DB" w:rsidRPr="00CC55E1" w:rsidRDefault="004428DB" w:rsidP="004428DB">
      <w:pPr>
        <w:jc w:val="both"/>
        <w:rPr>
          <w:sz w:val="20"/>
          <w:szCs w:val="20"/>
        </w:rPr>
      </w:pPr>
      <w:r w:rsidRPr="00BD1663">
        <w:rPr>
          <w:sz w:val="20"/>
          <w:szCs w:val="20"/>
        </w:rPr>
        <w:t>Adjusted EBITDA provides an addition</w:t>
      </w:r>
      <w:r w:rsidR="00287D5F" w:rsidRPr="00BD1663">
        <w:rPr>
          <w:sz w:val="20"/>
          <w:szCs w:val="20"/>
        </w:rPr>
        <w:t>al way to evaluate MGE</w:t>
      </w:r>
      <w:r w:rsidRPr="00BD1663">
        <w:rPr>
          <w:sz w:val="20"/>
          <w:szCs w:val="20"/>
        </w:rPr>
        <w:t>’s operations and, whe</w:t>
      </w:r>
      <w:r w:rsidR="00287D5F" w:rsidRPr="00BD1663">
        <w:rPr>
          <w:sz w:val="20"/>
          <w:szCs w:val="20"/>
        </w:rPr>
        <w:t>n viewed with both MGE</w:t>
      </w:r>
      <w:r w:rsidRPr="00BD1663">
        <w:rPr>
          <w:sz w:val="20"/>
          <w:szCs w:val="20"/>
        </w:rPr>
        <w:t>’s GAAP results and the reconci</w:t>
      </w:r>
      <w:r w:rsidR="00287D5F" w:rsidRPr="00BD1663">
        <w:rPr>
          <w:sz w:val="20"/>
          <w:szCs w:val="20"/>
        </w:rPr>
        <w:t>liations provided, MGE</w:t>
      </w:r>
      <w:r w:rsidRPr="00BD1663">
        <w:rPr>
          <w:sz w:val="20"/>
          <w:szCs w:val="20"/>
        </w:rPr>
        <w:t xml:space="preserve"> believes that it provides a more complete understanding of its business than could be otherwise obtained absent this disclosure. Adjusted EBITDA is presented solely as a supplemental discl</w:t>
      </w:r>
      <w:r w:rsidR="00287D5F" w:rsidRPr="00BD1663">
        <w:rPr>
          <w:sz w:val="20"/>
          <w:szCs w:val="20"/>
        </w:rPr>
        <w:t>osure because: (1) MGE</w:t>
      </w:r>
      <w:r w:rsidRPr="00BD1663">
        <w:rPr>
          <w:sz w:val="20"/>
          <w:szCs w:val="20"/>
        </w:rPr>
        <w:t xml:space="preserve"> believes it enhances an overal</w:t>
      </w:r>
      <w:r w:rsidR="00287D5F" w:rsidRPr="00BD1663">
        <w:rPr>
          <w:sz w:val="20"/>
          <w:szCs w:val="20"/>
        </w:rPr>
        <w:t>l understanding of MGE</w:t>
      </w:r>
      <w:r w:rsidRPr="00BD1663">
        <w:rPr>
          <w:sz w:val="20"/>
          <w:szCs w:val="20"/>
        </w:rPr>
        <w:t>’s past and curr</w:t>
      </w:r>
      <w:r w:rsidR="00287D5F" w:rsidRPr="00BD1663">
        <w:rPr>
          <w:sz w:val="20"/>
          <w:szCs w:val="20"/>
        </w:rPr>
        <w:t>ent financial performance; (2) MGE</w:t>
      </w:r>
      <w:r w:rsidRPr="00BD1663">
        <w:rPr>
          <w:sz w:val="20"/>
          <w:szCs w:val="20"/>
        </w:rPr>
        <w:t xml:space="preserve"> believes it is a useful tool for investors to assess </w:t>
      </w:r>
      <w:r w:rsidRPr="00CC55E1">
        <w:rPr>
          <w:sz w:val="20"/>
          <w:szCs w:val="20"/>
        </w:rPr>
        <w:t xml:space="preserve">the operating performance of the business in comparison to other operators within the casino and hospitality industry since Adjusted EBITDA excludes certain items that may not be indicative </w:t>
      </w:r>
      <w:r w:rsidR="00287D5F" w:rsidRPr="00CC55E1">
        <w:rPr>
          <w:sz w:val="20"/>
          <w:szCs w:val="20"/>
        </w:rPr>
        <w:t>of MGE</w:t>
      </w:r>
      <w:r w:rsidRPr="00CC55E1">
        <w:rPr>
          <w:sz w:val="20"/>
          <w:szCs w:val="20"/>
        </w:rPr>
        <w:t xml:space="preserve">’s operating results; (3) measures that are comparable to Adjusted EBITDA are often used as an important basis for the valuation of casino and hospitality </w:t>
      </w:r>
      <w:r w:rsidR="00287D5F" w:rsidRPr="00CC55E1">
        <w:rPr>
          <w:sz w:val="20"/>
          <w:szCs w:val="20"/>
        </w:rPr>
        <w:t>companies; and (4) MGE</w:t>
      </w:r>
      <w:r w:rsidRPr="00CC55E1">
        <w:rPr>
          <w:sz w:val="20"/>
          <w:szCs w:val="20"/>
        </w:rPr>
        <w:t xml:space="preserve"> uses Adjusted EBITDA internally to evaluate the performance of its operating personnel and management and as a benchmark to evaluate its operating performance in comparison to its competitors.</w:t>
      </w:r>
    </w:p>
    <w:p w14:paraId="4D446DA0" w14:textId="77777777" w:rsidR="004428DB" w:rsidRPr="00CC55E1" w:rsidRDefault="004428DB" w:rsidP="004428DB">
      <w:pPr>
        <w:jc w:val="both"/>
        <w:rPr>
          <w:sz w:val="20"/>
          <w:szCs w:val="20"/>
          <w:highlight w:val="lightGray"/>
        </w:rPr>
      </w:pPr>
    </w:p>
    <w:p w14:paraId="552E6B77" w14:textId="77777777" w:rsidR="004428DB" w:rsidRPr="00CC55E1" w:rsidRDefault="004428DB" w:rsidP="004428DB">
      <w:pPr>
        <w:jc w:val="both"/>
        <w:rPr>
          <w:sz w:val="20"/>
          <w:szCs w:val="20"/>
        </w:rPr>
      </w:pPr>
      <w:r w:rsidRPr="00CC55E1">
        <w:rPr>
          <w:sz w:val="20"/>
          <w:szCs w:val="20"/>
        </w:rPr>
        <w:t>The use of Adjusted EBITDA has certain limitations. Adjusted EBITDA should be considered in addition to, not as a substitute for or superior to, any GAAP financial measure including net income (</w:t>
      </w:r>
      <w:r w:rsidR="00287D5F" w:rsidRPr="00CC55E1">
        <w:rPr>
          <w:sz w:val="20"/>
          <w:szCs w:val="20"/>
        </w:rPr>
        <w:t>as an indicator of MGE</w:t>
      </w:r>
      <w:r w:rsidRPr="00CC55E1">
        <w:rPr>
          <w:sz w:val="20"/>
          <w:szCs w:val="20"/>
        </w:rPr>
        <w:t>’s performance) or cash flows provided by operating activities (</w:t>
      </w:r>
      <w:r w:rsidR="00287D5F" w:rsidRPr="00CC55E1">
        <w:rPr>
          <w:sz w:val="20"/>
          <w:szCs w:val="20"/>
        </w:rPr>
        <w:t>as an indicator of MGE</w:t>
      </w:r>
      <w:r w:rsidRPr="00CC55E1">
        <w:rPr>
          <w:sz w:val="20"/>
          <w:szCs w:val="20"/>
        </w:rPr>
        <w:t>’s liquidity), nor should it be considered as a</w:t>
      </w:r>
      <w:r w:rsidR="00287D5F" w:rsidRPr="00CC55E1">
        <w:rPr>
          <w:sz w:val="20"/>
          <w:szCs w:val="20"/>
        </w:rPr>
        <w:t>n indicator of MGE</w:t>
      </w:r>
      <w:r w:rsidRPr="00CC55E1">
        <w:rPr>
          <w:sz w:val="20"/>
          <w:szCs w:val="20"/>
        </w:rPr>
        <w:t>’s overall fina</w:t>
      </w:r>
      <w:r w:rsidR="00287D5F" w:rsidRPr="00CC55E1">
        <w:rPr>
          <w:sz w:val="20"/>
          <w:szCs w:val="20"/>
        </w:rPr>
        <w:t>ncial performance.</w:t>
      </w:r>
      <w:r w:rsidR="00B06863">
        <w:rPr>
          <w:sz w:val="20"/>
          <w:szCs w:val="20"/>
        </w:rPr>
        <w:t xml:space="preserve"> </w:t>
      </w:r>
      <w:r w:rsidR="00287D5F" w:rsidRPr="00CC55E1">
        <w:rPr>
          <w:sz w:val="20"/>
          <w:szCs w:val="20"/>
        </w:rPr>
        <w:t>MGE</w:t>
      </w:r>
      <w:r w:rsidRPr="00CC55E1">
        <w:rPr>
          <w:sz w:val="20"/>
          <w:szCs w:val="20"/>
        </w:rPr>
        <w:t>’s calculation of Adjusted EBITDA is likely to be different from the calculation of Adjusted EBITDA or other similarly titled measurements used by other casino and hospitality companies, and therefore, comparability may be limited. Adjusted EBITDA eliminates certain items fr</w:t>
      </w:r>
      <w:r w:rsidR="00CE1E41" w:rsidRPr="00CC55E1">
        <w:rPr>
          <w:sz w:val="20"/>
          <w:szCs w:val="20"/>
        </w:rPr>
        <w:t>om net income</w:t>
      </w:r>
      <w:r w:rsidRPr="00CC55E1">
        <w:rPr>
          <w:sz w:val="20"/>
          <w:szCs w:val="20"/>
        </w:rPr>
        <w:t>, such as interest and depreciation and amortization.</w:t>
      </w:r>
      <w:r w:rsidR="00B06863">
        <w:rPr>
          <w:sz w:val="20"/>
          <w:szCs w:val="20"/>
        </w:rPr>
        <w:t xml:space="preserve"> </w:t>
      </w:r>
      <w:r w:rsidRPr="00CC55E1">
        <w:rPr>
          <w:sz w:val="20"/>
          <w:szCs w:val="20"/>
        </w:rPr>
        <w:t>Each of these items has been incurred in the past, will continue to be incurred in the future and should be considered in the ove</w:t>
      </w:r>
      <w:r w:rsidR="00287D5F" w:rsidRPr="00CC55E1">
        <w:rPr>
          <w:sz w:val="20"/>
          <w:szCs w:val="20"/>
        </w:rPr>
        <w:t xml:space="preserve">rall evaluation of MGE’s results. </w:t>
      </w:r>
      <w:r w:rsidR="00B06863">
        <w:rPr>
          <w:sz w:val="20"/>
          <w:szCs w:val="20"/>
        </w:rPr>
        <w:t xml:space="preserve"> </w:t>
      </w:r>
      <w:r w:rsidR="00287D5F" w:rsidRPr="00CC55E1">
        <w:rPr>
          <w:sz w:val="20"/>
          <w:szCs w:val="20"/>
        </w:rPr>
        <w:t>MGE</w:t>
      </w:r>
      <w:r w:rsidRPr="00CC55E1">
        <w:rPr>
          <w:sz w:val="20"/>
          <w:szCs w:val="20"/>
        </w:rPr>
        <w:t xml:space="preserve"> compensates for these limitations by providing relevant disclosures of items excluded in the calculation of Adjusted EBITDA, both in its reconciliations to the GAAP financial measure of net income and in its consolidated financial statements, all of which should be considered when evalu</w:t>
      </w:r>
      <w:r w:rsidR="00287D5F" w:rsidRPr="00CC55E1">
        <w:rPr>
          <w:sz w:val="20"/>
          <w:szCs w:val="20"/>
        </w:rPr>
        <w:t>ating its results. MGE</w:t>
      </w:r>
      <w:r w:rsidRPr="00CC55E1">
        <w:rPr>
          <w:sz w:val="20"/>
          <w:szCs w:val="20"/>
        </w:rPr>
        <w:t xml:space="preserve"> strongly encourages investors to review its financial information in its entirety and not to rely on a single financial measure.</w:t>
      </w:r>
    </w:p>
    <w:p w14:paraId="70DD93FC" w14:textId="77777777" w:rsidR="007836C9" w:rsidRDefault="007836C9" w:rsidP="004428DB">
      <w:pPr>
        <w:rPr>
          <w:sz w:val="20"/>
          <w:szCs w:val="20"/>
        </w:rPr>
      </w:pPr>
    </w:p>
    <w:p w14:paraId="7F832FFE" w14:textId="77777777" w:rsidR="007836C9" w:rsidRDefault="007836C9" w:rsidP="004428DB">
      <w:pPr>
        <w:rPr>
          <w:sz w:val="20"/>
          <w:szCs w:val="20"/>
        </w:rPr>
      </w:pPr>
    </w:p>
    <w:p w14:paraId="66D51071" w14:textId="77777777" w:rsidR="004428DB" w:rsidRPr="00CC55E1" w:rsidRDefault="00BD35F8" w:rsidP="004428DB">
      <w:pPr>
        <w:rPr>
          <w:b/>
          <w:bCs/>
          <w:sz w:val="20"/>
          <w:szCs w:val="20"/>
        </w:rPr>
      </w:pPr>
      <w:r w:rsidRPr="00CC55E1">
        <w:rPr>
          <w:b/>
          <w:bCs/>
          <w:sz w:val="20"/>
          <w:szCs w:val="20"/>
        </w:rPr>
        <w:t>Contact</w:t>
      </w:r>
      <w:r w:rsidR="004428DB" w:rsidRPr="00CC55E1">
        <w:rPr>
          <w:b/>
          <w:bCs/>
          <w:sz w:val="20"/>
          <w:szCs w:val="20"/>
        </w:rPr>
        <w:t>:</w:t>
      </w:r>
    </w:p>
    <w:p w14:paraId="16E4B1EB" w14:textId="77777777" w:rsidR="004428DB" w:rsidRPr="00CC55E1" w:rsidRDefault="007836C9" w:rsidP="004428DB">
      <w:pPr>
        <w:rPr>
          <w:b/>
          <w:bCs/>
          <w:sz w:val="20"/>
          <w:szCs w:val="20"/>
        </w:rPr>
      </w:pPr>
      <w:r>
        <w:rPr>
          <w:b/>
          <w:bCs/>
          <w:sz w:val="20"/>
          <w:szCs w:val="20"/>
        </w:rPr>
        <w:t>Christopher Jones</w:t>
      </w:r>
    </w:p>
    <w:p w14:paraId="5E8A494E" w14:textId="77777777" w:rsidR="004428DB" w:rsidRPr="00CC55E1" w:rsidRDefault="007836C9" w:rsidP="004428DB">
      <w:pPr>
        <w:rPr>
          <w:b/>
          <w:bCs/>
          <w:sz w:val="20"/>
          <w:szCs w:val="20"/>
        </w:rPr>
      </w:pPr>
      <w:r>
        <w:rPr>
          <w:b/>
          <w:bCs/>
          <w:sz w:val="20"/>
          <w:szCs w:val="20"/>
        </w:rPr>
        <w:t>V</w:t>
      </w:r>
      <w:r w:rsidR="007B1ACF">
        <w:rPr>
          <w:b/>
          <w:bCs/>
          <w:sz w:val="20"/>
          <w:szCs w:val="20"/>
        </w:rPr>
        <w:t>ice President,</w:t>
      </w:r>
      <w:r>
        <w:rPr>
          <w:b/>
          <w:bCs/>
          <w:sz w:val="20"/>
          <w:szCs w:val="20"/>
        </w:rPr>
        <w:t xml:space="preserve"> Corporate Finance</w:t>
      </w:r>
    </w:p>
    <w:p w14:paraId="7A2B135E" w14:textId="77777777" w:rsidR="004428DB" w:rsidRPr="00CC55E1" w:rsidRDefault="00287D5F" w:rsidP="004428DB">
      <w:pPr>
        <w:rPr>
          <w:b/>
          <w:bCs/>
          <w:sz w:val="20"/>
          <w:szCs w:val="20"/>
        </w:rPr>
      </w:pPr>
      <w:r w:rsidRPr="00CC55E1">
        <w:rPr>
          <w:b/>
          <w:bCs/>
          <w:sz w:val="20"/>
          <w:szCs w:val="20"/>
        </w:rPr>
        <w:t>Mohegan Gaming &amp; Entertainment</w:t>
      </w:r>
    </w:p>
    <w:p w14:paraId="6192FBC7" w14:textId="77777777" w:rsidR="008D3AA4" w:rsidRPr="007836C9" w:rsidRDefault="007836C9" w:rsidP="004A4878">
      <w:pPr>
        <w:rPr>
          <w:b/>
          <w:bCs/>
          <w:sz w:val="20"/>
          <w:szCs w:val="20"/>
        </w:rPr>
      </w:pPr>
      <w:r>
        <w:rPr>
          <w:b/>
          <w:bCs/>
          <w:sz w:val="20"/>
          <w:szCs w:val="20"/>
        </w:rPr>
        <w:t>(860) 862-8000</w:t>
      </w:r>
    </w:p>
    <w:sectPr w:rsidR="008D3AA4" w:rsidRPr="007836C9" w:rsidSect="002F3F7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E9A83" w14:textId="77777777" w:rsidR="001B3A1F" w:rsidRDefault="001B3A1F" w:rsidP="006F11EC">
      <w:r>
        <w:separator/>
      </w:r>
    </w:p>
  </w:endnote>
  <w:endnote w:type="continuationSeparator" w:id="0">
    <w:p w14:paraId="32A429F1" w14:textId="77777777" w:rsidR="001B3A1F" w:rsidRDefault="001B3A1F" w:rsidP="006F11EC">
      <w:r>
        <w:continuationSeparator/>
      </w:r>
    </w:p>
  </w:endnote>
  <w:endnote w:type="continuationNotice" w:id="1">
    <w:p w14:paraId="48C7C765" w14:textId="77777777" w:rsidR="001B3A1F" w:rsidRDefault="001B3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012626"/>
      <w:docPartObj>
        <w:docPartGallery w:val="Page Numbers (Bottom of Page)"/>
        <w:docPartUnique/>
      </w:docPartObj>
    </w:sdtPr>
    <w:sdtEndPr/>
    <w:sdtContent>
      <w:p w14:paraId="2342084D" w14:textId="5D707485" w:rsidR="002A41EA" w:rsidRDefault="002A41EA">
        <w:pPr>
          <w:pStyle w:val="Footer"/>
          <w:jc w:val="right"/>
        </w:pPr>
        <w:r>
          <w:fldChar w:fldCharType="begin"/>
        </w:r>
        <w:r>
          <w:instrText xml:space="preserve"> PAGE   \* MERGEFORMAT </w:instrText>
        </w:r>
        <w:r>
          <w:fldChar w:fldCharType="separate"/>
        </w:r>
        <w:r w:rsidR="00CB2082">
          <w:rPr>
            <w:noProof/>
          </w:rPr>
          <w:t>1</w:t>
        </w:r>
        <w:r>
          <w:rPr>
            <w:noProof/>
          </w:rPr>
          <w:fldChar w:fldCharType="end"/>
        </w:r>
      </w:p>
    </w:sdtContent>
  </w:sdt>
  <w:p w14:paraId="374539C1" w14:textId="77777777" w:rsidR="002A41EA" w:rsidRDefault="002A41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6ABA7" w14:textId="77777777" w:rsidR="001B3A1F" w:rsidRDefault="001B3A1F" w:rsidP="006F11EC">
      <w:r>
        <w:separator/>
      </w:r>
    </w:p>
  </w:footnote>
  <w:footnote w:type="continuationSeparator" w:id="0">
    <w:p w14:paraId="136C7F17" w14:textId="77777777" w:rsidR="001B3A1F" w:rsidRDefault="001B3A1F" w:rsidP="006F11EC">
      <w:r>
        <w:continuationSeparator/>
      </w:r>
    </w:p>
  </w:footnote>
  <w:footnote w:type="continuationNotice" w:id="1">
    <w:p w14:paraId="73B99FAC" w14:textId="77777777" w:rsidR="001B3A1F" w:rsidRDefault="001B3A1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609CC76C"/>
    <w:lvl w:ilvl="0">
      <w:start w:val="1"/>
      <w:numFmt w:val="bullet"/>
      <w:lvlText w:val="·"/>
      <w:lvlJc w:val="left"/>
      <w:pPr>
        <w:tabs>
          <w:tab w:val="num" w:pos="360"/>
        </w:tabs>
        <w:ind w:left="360" w:hanging="360"/>
      </w:pPr>
      <w:rPr>
        <w:rFonts w:ascii="Symbol" w:hAnsi="Symbol" w:hint="default"/>
        <w:color w:val="auto"/>
        <w:spacing w:val="0"/>
        <w:sz w:val="20"/>
      </w:rPr>
    </w:lvl>
  </w:abstractNum>
  <w:abstractNum w:abstractNumId="1" w15:restartNumberingAfterBreak="0">
    <w:nsid w:val="219101A3"/>
    <w:multiLevelType w:val="hybridMultilevel"/>
    <w:tmpl w:val="0542EFFC"/>
    <w:lvl w:ilvl="0" w:tplc="1EC858A8">
      <w:start w:val="1"/>
      <w:numFmt w:val="bullet"/>
      <w:lvlText w:val="•"/>
      <w:lvlJc w:val="left"/>
      <w:pPr>
        <w:tabs>
          <w:tab w:val="num" w:pos="720"/>
        </w:tabs>
        <w:ind w:left="720" w:hanging="360"/>
      </w:pPr>
      <w:rPr>
        <w:rFonts w:ascii="Arial" w:hAnsi="Arial" w:hint="default"/>
      </w:rPr>
    </w:lvl>
    <w:lvl w:ilvl="1" w:tplc="84ECB1D4" w:tentative="1">
      <w:start w:val="1"/>
      <w:numFmt w:val="bullet"/>
      <w:lvlText w:val="•"/>
      <w:lvlJc w:val="left"/>
      <w:pPr>
        <w:tabs>
          <w:tab w:val="num" w:pos="1440"/>
        </w:tabs>
        <w:ind w:left="1440" w:hanging="360"/>
      </w:pPr>
      <w:rPr>
        <w:rFonts w:ascii="Arial" w:hAnsi="Arial" w:hint="default"/>
      </w:rPr>
    </w:lvl>
    <w:lvl w:ilvl="2" w:tplc="B6E87046" w:tentative="1">
      <w:start w:val="1"/>
      <w:numFmt w:val="bullet"/>
      <w:lvlText w:val="•"/>
      <w:lvlJc w:val="left"/>
      <w:pPr>
        <w:tabs>
          <w:tab w:val="num" w:pos="2160"/>
        </w:tabs>
        <w:ind w:left="2160" w:hanging="360"/>
      </w:pPr>
      <w:rPr>
        <w:rFonts w:ascii="Arial" w:hAnsi="Arial" w:hint="default"/>
      </w:rPr>
    </w:lvl>
    <w:lvl w:ilvl="3" w:tplc="BD5E4D0E" w:tentative="1">
      <w:start w:val="1"/>
      <w:numFmt w:val="bullet"/>
      <w:lvlText w:val="•"/>
      <w:lvlJc w:val="left"/>
      <w:pPr>
        <w:tabs>
          <w:tab w:val="num" w:pos="2880"/>
        </w:tabs>
        <w:ind w:left="2880" w:hanging="360"/>
      </w:pPr>
      <w:rPr>
        <w:rFonts w:ascii="Arial" w:hAnsi="Arial" w:hint="default"/>
      </w:rPr>
    </w:lvl>
    <w:lvl w:ilvl="4" w:tplc="9828C136" w:tentative="1">
      <w:start w:val="1"/>
      <w:numFmt w:val="bullet"/>
      <w:lvlText w:val="•"/>
      <w:lvlJc w:val="left"/>
      <w:pPr>
        <w:tabs>
          <w:tab w:val="num" w:pos="3600"/>
        </w:tabs>
        <w:ind w:left="3600" w:hanging="360"/>
      </w:pPr>
      <w:rPr>
        <w:rFonts w:ascii="Arial" w:hAnsi="Arial" w:hint="default"/>
      </w:rPr>
    </w:lvl>
    <w:lvl w:ilvl="5" w:tplc="A7DE7B0C" w:tentative="1">
      <w:start w:val="1"/>
      <w:numFmt w:val="bullet"/>
      <w:lvlText w:val="•"/>
      <w:lvlJc w:val="left"/>
      <w:pPr>
        <w:tabs>
          <w:tab w:val="num" w:pos="4320"/>
        </w:tabs>
        <w:ind w:left="4320" w:hanging="360"/>
      </w:pPr>
      <w:rPr>
        <w:rFonts w:ascii="Arial" w:hAnsi="Arial" w:hint="default"/>
      </w:rPr>
    </w:lvl>
    <w:lvl w:ilvl="6" w:tplc="20FA94D4" w:tentative="1">
      <w:start w:val="1"/>
      <w:numFmt w:val="bullet"/>
      <w:lvlText w:val="•"/>
      <w:lvlJc w:val="left"/>
      <w:pPr>
        <w:tabs>
          <w:tab w:val="num" w:pos="5040"/>
        </w:tabs>
        <w:ind w:left="5040" w:hanging="360"/>
      </w:pPr>
      <w:rPr>
        <w:rFonts w:ascii="Arial" w:hAnsi="Arial" w:hint="default"/>
      </w:rPr>
    </w:lvl>
    <w:lvl w:ilvl="7" w:tplc="0CD6E17C" w:tentative="1">
      <w:start w:val="1"/>
      <w:numFmt w:val="bullet"/>
      <w:lvlText w:val="•"/>
      <w:lvlJc w:val="left"/>
      <w:pPr>
        <w:tabs>
          <w:tab w:val="num" w:pos="5760"/>
        </w:tabs>
        <w:ind w:left="5760" w:hanging="360"/>
      </w:pPr>
      <w:rPr>
        <w:rFonts w:ascii="Arial" w:hAnsi="Arial" w:hint="default"/>
      </w:rPr>
    </w:lvl>
    <w:lvl w:ilvl="8" w:tplc="06B6C9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4F5770"/>
    <w:multiLevelType w:val="hybridMultilevel"/>
    <w:tmpl w:val="0596B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7C64B9"/>
    <w:multiLevelType w:val="hybridMultilevel"/>
    <w:tmpl w:val="B0B0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6366D"/>
    <w:multiLevelType w:val="hybridMultilevel"/>
    <w:tmpl w:val="44526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55F05E9"/>
    <w:multiLevelType w:val="hybridMultilevel"/>
    <w:tmpl w:val="D4B0E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93"/>
    <w:rsid w:val="000001F6"/>
    <w:rsid w:val="000012AD"/>
    <w:rsid w:val="00001461"/>
    <w:rsid w:val="00001FEC"/>
    <w:rsid w:val="00002811"/>
    <w:rsid w:val="00003083"/>
    <w:rsid w:val="00003693"/>
    <w:rsid w:val="00003BFB"/>
    <w:rsid w:val="00004D1E"/>
    <w:rsid w:val="00006866"/>
    <w:rsid w:val="00006B74"/>
    <w:rsid w:val="000072D3"/>
    <w:rsid w:val="00007628"/>
    <w:rsid w:val="0001009D"/>
    <w:rsid w:val="000105C2"/>
    <w:rsid w:val="0001151F"/>
    <w:rsid w:val="00011E75"/>
    <w:rsid w:val="00012283"/>
    <w:rsid w:val="000133D0"/>
    <w:rsid w:val="00013AE9"/>
    <w:rsid w:val="00013D19"/>
    <w:rsid w:val="00014B4A"/>
    <w:rsid w:val="00014F93"/>
    <w:rsid w:val="00015FE7"/>
    <w:rsid w:val="0001631E"/>
    <w:rsid w:val="00016566"/>
    <w:rsid w:val="00016869"/>
    <w:rsid w:val="000168F5"/>
    <w:rsid w:val="00017C35"/>
    <w:rsid w:val="00020A20"/>
    <w:rsid w:val="00020DCE"/>
    <w:rsid w:val="00021448"/>
    <w:rsid w:val="00022A97"/>
    <w:rsid w:val="00022D4F"/>
    <w:rsid w:val="0002315E"/>
    <w:rsid w:val="00023E41"/>
    <w:rsid w:val="000245AC"/>
    <w:rsid w:val="0002486A"/>
    <w:rsid w:val="0002506F"/>
    <w:rsid w:val="000313B6"/>
    <w:rsid w:val="00031D15"/>
    <w:rsid w:val="000324BC"/>
    <w:rsid w:val="00032858"/>
    <w:rsid w:val="00032A0B"/>
    <w:rsid w:val="00032F0E"/>
    <w:rsid w:val="00034DB0"/>
    <w:rsid w:val="00035239"/>
    <w:rsid w:val="00035705"/>
    <w:rsid w:val="00035780"/>
    <w:rsid w:val="000369BC"/>
    <w:rsid w:val="00036F27"/>
    <w:rsid w:val="00037BC8"/>
    <w:rsid w:val="000407A6"/>
    <w:rsid w:val="00040C19"/>
    <w:rsid w:val="00041066"/>
    <w:rsid w:val="000412ED"/>
    <w:rsid w:val="000414D5"/>
    <w:rsid w:val="0004242A"/>
    <w:rsid w:val="00042875"/>
    <w:rsid w:val="00042A17"/>
    <w:rsid w:val="00043628"/>
    <w:rsid w:val="00043B10"/>
    <w:rsid w:val="00043F95"/>
    <w:rsid w:val="000447B5"/>
    <w:rsid w:val="00045783"/>
    <w:rsid w:val="00046324"/>
    <w:rsid w:val="0004633E"/>
    <w:rsid w:val="00046D9D"/>
    <w:rsid w:val="00047CD9"/>
    <w:rsid w:val="00047E40"/>
    <w:rsid w:val="000508E5"/>
    <w:rsid w:val="00050D34"/>
    <w:rsid w:val="0005102A"/>
    <w:rsid w:val="000513FF"/>
    <w:rsid w:val="00052015"/>
    <w:rsid w:val="0005281A"/>
    <w:rsid w:val="0005283B"/>
    <w:rsid w:val="00055977"/>
    <w:rsid w:val="000563FD"/>
    <w:rsid w:val="000572EA"/>
    <w:rsid w:val="00057DEE"/>
    <w:rsid w:val="00060D7F"/>
    <w:rsid w:val="00062023"/>
    <w:rsid w:val="00062136"/>
    <w:rsid w:val="00062199"/>
    <w:rsid w:val="0006349B"/>
    <w:rsid w:val="000637DB"/>
    <w:rsid w:val="00063944"/>
    <w:rsid w:val="000644A3"/>
    <w:rsid w:val="00064E6D"/>
    <w:rsid w:val="00065224"/>
    <w:rsid w:val="0006530F"/>
    <w:rsid w:val="000656B2"/>
    <w:rsid w:val="00066766"/>
    <w:rsid w:val="00066D76"/>
    <w:rsid w:val="00066F8D"/>
    <w:rsid w:val="000672A7"/>
    <w:rsid w:val="00067861"/>
    <w:rsid w:val="00067E63"/>
    <w:rsid w:val="00067E92"/>
    <w:rsid w:val="0007078A"/>
    <w:rsid w:val="0007079A"/>
    <w:rsid w:val="00070A90"/>
    <w:rsid w:val="0007100A"/>
    <w:rsid w:val="00071799"/>
    <w:rsid w:val="00071AE4"/>
    <w:rsid w:val="00072B54"/>
    <w:rsid w:val="00073B58"/>
    <w:rsid w:val="00073F11"/>
    <w:rsid w:val="00074228"/>
    <w:rsid w:val="0007587D"/>
    <w:rsid w:val="00075EAA"/>
    <w:rsid w:val="0007612D"/>
    <w:rsid w:val="00076A7C"/>
    <w:rsid w:val="00076B75"/>
    <w:rsid w:val="00076BEA"/>
    <w:rsid w:val="00076F2B"/>
    <w:rsid w:val="00080264"/>
    <w:rsid w:val="000803DB"/>
    <w:rsid w:val="0008077E"/>
    <w:rsid w:val="000808D6"/>
    <w:rsid w:val="00081EBA"/>
    <w:rsid w:val="000821F9"/>
    <w:rsid w:val="00083484"/>
    <w:rsid w:val="00083535"/>
    <w:rsid w:val="00083923"/>
    <w:rsid w:val="00084459"/>
    <w:rsid w:val="000845F0"/>
    <w:rsid w:val="00084FFE"/>
    <w:rsid w:val="00085FB9"/>
    <w:rsid w:val="000874D7"/>
    <w:rsid w:val="000901AE"/>
    <w:rsid w:val="00090680"/>
    <w:rsid w:val="00090D06"/>
    <w:rsid w:val="00091000"/>
    <w:rsid w:val="000911E4"/>
    <w:rsid w:val="00091BE3"/>
    <w:rsid w:val="00091CCD"/>
    <w:rsid w:val="0009291A"/>
    <w:rsid w:val="00092E4B"/>
    <w:rsid w:val="0009316B"/>
    <w:rsid w:val="000932C4"/>
    <w:rsid w:val="0009353D"/>
    <w:rsid w:val="00094290"/>
    <w:rsid w:val="00094494"/>
    <w:rsid w:val="000946ED"/>
    <w:rsid w:val="00094792"/>
    <w:rsid w:val="00095267"/>
    <w:rsid w:val="0009594F"/>
    <w:rsid w:val="00096037"/>
    <w:rsid w:val="00096E5B"/>
    <w:rsid w:val="000A1D3C"/>
    <w:rsid w:val="000A2254"/>
    <w:rsid w:val="000A3459"/>
    <w:rsid w:val="000A3985"/>
    <w:rsid w:val="000A6528"/>
    <w:rsid w:val="000A6B32"/>
    <w:rsid w:val="000A7329"/>
    <w:rsid w:val="000A7A87"/>
    <w:rsid w:val="000B02F7"/>
    <w:rsid w:val="000B0DCD"/>
    <w:rsid w:val="000B0E2A"/>
    <w:rsid w:val="000B1028"/>
    <w:rsid w:val="000B17FE"/>
    <w:rsid w:val="000B2557"/>
    <w:rsid w:val="000B291F"/>
    <w:rsid w:val="000B2C89"/>
    <w:rsid w:val="000B2E86"/>
    <w:rsid w:val="000B3142"/>
    <w:rsid w:val="000B32FB"/>
    <w:rsid w:val="000B3C1D"/>
    <w:rsid w:val="000B3C42"/>
    <w:rsid w:val="000B4A39"/>
    <w:rsid w:val="000B4D9D"/>
    <w:rsid w:val="000B52D3"/>
    <w:rsid w:val="000B594B"/>
    <w:rsid w:val="000B5EA6"/>
    <w:rsid w:val="000B6356"/>
    <w:rsid w:val="000B63F7"/>
    <w:rsid w:val="000B70CD"/>
    <w:rsid w:val="000C0DF1"/>
    <w:rsid w:val="000C32E2"/>
    <w:rsid w:val="000C3835"/>
    <w:rsid w:val="000C57BC"/>
    <w:rsid w:val="000C5A47"/>
    <w:rsid w:val="000C5BAC"/>
    <w:rsid w:val="000C5E7D"/>
    <w:rsid w:val="000C70EE"/>
    <w:rsid w:val="000C71AA"/>
    <w:rsid w:val="000C784C"/>
    <w:rsid w:val="000C7B1F"/>
    <w:rsid w:val="000D05B9"/>
    <w:rsid w:val="000D097E"/>
    <w:rsid w:val="000D0F20"/>
    <w:rsid w:val="000D26EC"/>
    <w:rsid w:val="000D32F9"/>
    <w:rsid w:val="000D3853"/>
    <w:rsid w:val="000D3EBF"/>
    <w:rsid w:val="000D41F8"/>
    <w:rsid w:val="000D50A8"/>
    <w:rsid w:val="000D60FD"/>
    <w:rsid w:val="000D652B"/>
    <w:rsid w:val="000D6733"/>
    <w:rsid w:val="000E0704"/>
    <w:rsid w:val="000E1DE0"/>
    <w:rsid w:val="000E4962"/>
    <w:rsid w:val="000E4B5A"/>
    <w:rsid w:val="000E5280"/>
    <w:rsid w:val="000E7FC1"/>
    <w:rsid w:val="000F01C3"/>
    <w:rsid w:val="000F070C"/>
    <w:rsid w:val="000F192D"/>
    <w:rsid w:val="000F24F2"/>
    <w:rsid w:val="000F2A12"/>
    <w:rsid w:val="000F361F"/>
    <w:rsid w:val="000F3674"/>
    <w:rsid w:val="000F6CBB"/>
    <w:rsid w:val="000F6FBD"/>
    <w:rsid w:val="000F722E"/>
    <w:rsid w:val="0010045F"/>
    <w:rsid w:val="00101DBA"/>
    <w:rsid w:val="00102EB4"/>
    <w:rsid w:val="00102FCD"/>
    <w:rsid w:val="0010373F"/>
    <w:rsid w:val="00103767"/>
    <w:rsid w:val="00104826"/>
    <w:rsid w:val="00104981"/>
    <w:rsid w:val="00105397"/>
    <w:rsid w:val="001059DA"/>
    <w:rsid w:val="00105A8A"/>
    <w:rsid w:val="00105EB6"/>
    <w:rsid w:val="00105F9B"/>
    <w:rsid w:val="00106B60"/>
    <w:rsid w:val="00106FE2"/>
    <w:rsid w:val="001070C1"/>
    <w:rsid w:val="00111AD5"/>
    <w:rsid w:val="00111CF3"/>
    <w:rsid w:val="00111F1A"/>
    <w:rsid w:val="001121A6"/>
    <w:rsid w:val="00113106"/>
    <w:rsid w:val="00113E07"/>
    <w:rsid w:val="00116456"/>
    <w:rsid w:val="00116642"/>
    <w:rsid w:val="00116ADB"/>
    <w:rsid w:val="00117DD0"/>
    <w:rsid w:val="001201FB"/>
    <w:rsid w:val="001207BA"/>
    <w:rsid w:val="00120B2D"/>
    <w:rsid w:val="001210E4"/>
    <w:rsid w:val="00121515"/>
    <w:rsid w:val="00121F8F"/>
    <w:rsid w:val="00122698"/>
    <w:rsid w:val="00124082"/>
    <w:rsid w:val="00124C58"/>
    <w:rsid w:val="00124CF3"/>
    <w:rsid w:val="00125A91"/>
    <w:rsid w:val="001261D1"/>
    <w:rsid w:val="00126CDE"/>
    <w:rsid w:val="00127901"/>
    <w:rsid w:val="00127C27"/>
    <w:rsid w:val="00130327"/>
    <w:rsid w:val="001306B1"/>
    <w:rsid w:val="00130F8A"/>
    <w:rsid w:val="00131607"/>
    <w:rsid w:val="00131C20"/>
    <w:rsid w:val="001320EC"/>
    <w:rsid w:val="00132815"/>
    <w:rsid w:val="0013297A"/>
    <w:rsid w:val="00132ECF"/>
    <w:rsid w:val="001333FC"/>
    <w:rsid w:val="00133804"/>
    <w:rsid w:val="00134BBF"/>
    <w:rsid w:val="00134D18"/>
    <w:rsid w:val="00134D4D"/>
    <w:rsid w:val="001350E8"/>
    <w:rsid w:val="00135D3C"/>
    <w:rsid w:val="00135F9E"/>
    <w:rsid w:val="00135FB0"/>
    <w:rsid w:val="00136CC2"/>
    <w:rsid w:val="00141189"/>
    <w:rsid w:val="00141F1E"/>
    <w:rsid w:val="00142A61"/>
    <w:rsid w:val="00142B6C"/>
    <w:rsid w:val="00142DAD"/>
    <w:rsid w:val="00142F8C"/>
    <w:rsid w:val="00143D28"/>
    <w:rsid w:val="0014479F"/>
    <w:rsid w:val="00145302"/>
    <w:rsid w:val="001456AC"/>
    <w:rsid w:val="00146189"/>
    <w:rsid w:val="001469E3"/>
    <w:rsid w:val="00146DB4"/>
    <w:rsid w:val="0014702A"/>
    <w:rsid w:val="001479FD"/>
    <w:rsid w:val="00150B8B"/>
    <w:rsid w:val="00150EF5"/>
    <w:rsid w:val="00151AF7"/>
    <w:rsid w:val="00151CE0"/>
    <w:rsid w:val="0015252D"/>
    <w:rsid w:val="001542D9"/>
    <w:rsid w:val="00154636"/>
    <w:rsid w:val="001548F1"/>
    <w:rsid w:val="00154D77"/>
    <w:rsid w:val="00154F7E"/>
    <w:rsid w:val="001556D8"/>
    <w:rsid w:val="001558EA"/>
    <w:rsid w:val="001565DA"/>
    <w:rsid w:val="0015705F"/>
    <w:rsid w:val="001570A2"/>
    <w:rsid w:val="0015755F"/>
    <w:rsid w:val="00157660"/>
    <w:rsid w:val="00157BDD"/>
    <w:rsid w:val="00157E54"/>
    <w:rsid w:val="001608D4"/>
    <w:rsid w:val="001610B6"/>
    <w:rsid w:val="001616A5"/>
    <w:rsid w:val="001630A2"/>
    <w:rsid w:val="001630A9"/>
    <w:rsid w:val="0016337B"/>
    <w:rsid w:val="00163C46"/>
    <w:rsid w:val="001640A9"/>
    <w:rsid w:val="0016446D"/>
    <w:rsid w:val="0016695B"/>
    <w:rsid w:val="001679AF"/>
    <w:rsid w:val="00170AA8"/>
    <w:rsid w:val="0017142D"/>
    <w:rsid w:val="00172776"/>
    <w:rsid w:val="00172DFE"/>
    <w:rsid w:val="001743EA"/>
    <w:rsid w:val="00174CBE"/>
    <w:rsid w:val="00175906"/>
    <w:rsid w:val="00176033"/>
    <w:rsid w:val="00176356"/>
    <w:rsid w:val="001765FA"/>
    <w:rsid w:val="00176F02"/>
    <w:rsid w:val="00177135"/>
    <w:rsid w:val="0017784F"/>
    <w:rsid w:val="00180392"/>
    <w:rsid w:val="00181ACA"/>
    <w:rsid w:val="00181E51"/>
    <w:rsid w:val="00181F46"/>
    <w:rsid w:val="001837DC"/>
    <w:rsid w:val="00184599"/>
    <w:rsid w:val="00185352"/>
    <w:rsid w:val="00185F02"/>
    <w:rsid w:val="001874EB"/>
    <w:rsid w:val="00187721"/>
    <w:rsid w:val="00191327"/>
    <w:rsid w:val="001917D5"/>
    <w:rsid w:val="001927A7"/>
    <w:rsid w:val="001929D5"/>
    <w:rsid w:val="001931BE"/>
    <w:rsid w:val="001935DC"/>
    <w:rsid w:val="0019488E"/>
    <w:rsid w:val="00195DE8"/>
    <w:rsid w:val="001962F5"/>
    <w:rsid w:val="0019630D"/>
    <w:rsid w:val="001969FF"/>
    <w:rsid w:val="001971D4"/>
    <w:rsid w:val="0019725C"/>
    <w:rsid w:val="00197CE3"/>
    <w:rsid w:val="001A0469"/>
    <w:rsid w:val="001A0743"/>
    <w:rsid w:val="001A07A3"/>
    <w:rsid w:val="001A0852"/>
    <w:rsid w:val="001A14F1"/>
    <w:rsid w:val="001A162B"/>
    <w:rsid w:val="001A1D96"/>
    <w:rsid w:val="001A34E3"/>
    <w:rsid w:val="001A6846"/>
    <w:rsid w:val="001A68F0"/>
    <w:rsid w:val="001A784B"/>
    <w:rsid w:val="001A7A1D"/>
    <w:rsid w:val="001B0550"/>
    <w:rsid w:val="001B06BB"/>
    <w:rsid w:val="001B10BB"/>
    <w:rsid w:val="001B1539"/>
    <w:rsid w:val="001B17AE"/>
    <w:rsid w:val="001B22A8"/>
    <w:rsid w:val="001B2E34"/>
    <w:rsid w:val="001B3A1F"/>
    <w:rsid w:val="001B3FD6"/>
    <w:rsid w:val="001B531C"/>
    <w:rsid w:val="001B5E66"/>
    <w:rsid w:val="001B655C"/>
    <w:rsid w:val="001B6FDC"/>
    <w:rsid w:val="001B7152"/>
    <w:rsid w:val="001B7855"/>
    <w:rsid w:val="001B7E60"/>
    <w:rsid w:val="001C00AC"/>
    <w:rsid w:val="001C07E2"/>
    <w:rsid w:val="001C0938"/>
    <w:rsid w:val="001C0A4E"/>
    <w:rsid w:val="001C0FEC"/>
    <w:rsid w:val="001C10B7"/>
    <w:rsid w:val="001C1A8E"/>
    <w:rsid w:val="001C1D4A"/>
    <w:rsid w:val="001C3169"/>
    <w:rsid w:val="001C3B3C"/>
    <w:rsid w:val="001C4296"/>
    <w:rsid w:val="001C4CDA"/>
    <w:rsid w:val="001C647A"/>
    <w:rsid w:val="001C6CDC"/>
    <w:rsid w:val="001C77EB"/>
    <w:rsid w:val="001C7C49"/>
    <w:rsid w:val="001D1706"/>
    <w:rsid w:val="001D190C"/>
    <w:rsid w:val="001D1A88"/>
    <w:rsid w:val="001D21CB"/>
    <w:rsid w:val="001D3AEA"/>
    <w:rsid w:val="001D407C"/>
    <w:rsid w:val="001D4803"/>
    <w:rsid w:val="001D4F69"/>
    <w:rsid w:val="001D4FD6"/>
    <w:rsid w:val="001D4FE0"/>
    <w:rsid w:val="001D5D8B"/>
    <w:rsid w:val="001D5D8C"/>
    <w:rsid w:val="001D60C6"/>
    <w:rsid w:val="001D66DE"/>
    <w:rsid w:val="001D6DC8"/>
    <w:rsid w:val="001D7488"/>
    <w:rsid w:val="001D7D82"/>
    <w:rsid w:val="001E0028"/>
    <w:rsid w:val="001E14F7"/>
    <w:rsid w:val="001E27A8"/>
    <w:rsid w:val="001E2899"/>
    <w:rsid w:val="001E319E"/>
    <w:rsid w:val="001E3C2D"/>
    <w:rsid w:val="001E3E2E"/>
    <w:rsid w:val="001E442E"/>
    <w:rsid w:val="001E5603"/>
    <w:rsid w:val="001E6896"/>
    <w:rsid w:val="001E78B4"/>
    <w:rsid w:val="001F124A"/>
    <w:rsid w:val="001F1C03"/>
    <w:rsid w:val="001F1F0F"/>
    <w:rsid w:val="001F2056"/>
    <w:rsid w:val="001F2935"/>
    <w:rsid w:val="001F3A4D"/>
    <w:rsid w:val="001F4AFA"/>
    <w:rsid w:val="001F56C3"/>
    <w:rsid w:val="001F69AB"/>
    <w:rsid w:val="001F6F97"/>
    <w:rsid w:val="001F7928"/>
    <w:rsid w:val="001F7AA6"/>
    <w:rsid w:val="0020091C"/>
    <w:rsid w:val="002009C7"/>
    <w:rsid w:val="002010C2"/>
    <w:rsid w:val="0020130A"/>
    <w:rsid w:val="002015A2"/>
    <w:rsid w:val="00202311"/>
    <w:rsid w:val="002023A7"/>
    <w:rsid w:val="00203CC3"/>
    <w:rsid w:val="00206AEC"/>
    <w:rsid w:val="00206D01"/>
    <w:rsid w:val="00206ECA"/>
    <w:rsid w:val="00207B1A"/>
    <w:rsid w:val="00210FD6"/>
    <w:rsid w:val="00211124"/>
    <w:rsid w:val="00211180"/>
    <w:rsid w:val="002118BE"/>
    <w:rsid w:val="00212B25"/>
    <w:rsid w:val="00213849"/>
    <w:rsid w:val="00213DE4"/>
    <w:rsid w:val="00213EFF"/>
    <w:rsid w:val="002142CC"/>
    <w:rsid w:val="0021609E"/>
    <w:rsid w:val="00216872"/>
    <w:rsid w:val="00220677"/>
    <w:rsid w:val="002208D0"/>
    <w:rsid w:val="00220C01"/>
    <w:rsid w:val="00220E56"/>
    <w:rsid w:val="002210DC"/>
    <w:rsid w:val="00221727"/>
    <w:rsid w:val="00221BFA"/>
    <w:rsid w:val="00221DF2"/>
    <w:rsid w:val="002228CF"/>
    <w:rsid w:val="00223A4F"/>
    <w:rsid w:val="00225454"/>
    <w:rsid w:val="00225DCE"/>
    <w:rsid w:val="00226041"/>
    <w:rsid w:val="002264D5"/>
    <w:rsid w:val="00226730"/>
    <w:rsid w:val="0022692B"/>
    <w:rsid w:val="00227E35"/>
    <w:rsid w:val="002304A5"/>
    <w:rsid w:val="00230645"/>
    <w:rsid w:val="00231175"/>
    <w:rsid w:val="00231D03"/>
    <w:rsid w:val="00232F75"/>
    <w:rsid w:val="002340EB"/>
    <w:rsid w:val="002345D2"/>
    <w:rsid w:val="002345E7"/>
    <w:rsid w:val="002353E6"/>
    <w:rsid w:val="00235688"/>
    <w:rsid w:val="002361AF"/>
    <w:rsid w:val="0023623E"/>
    <w:rsid w:val="00236A3F"/>
    <w:rsid w:val="00236C96"/>
    <w:rsid w:val="00237CA7"/>
    <w:rsid w:val="00240A0F"/>
    <w:rsid w:val="002415BB"/>
    <w:rsid w:val="00241F09"/>
    <w:rsid w:val="00242809"/>
    <w:rsid w:val="00242A90"/>
    <w:rsid w:val="00245A5B"/>
    <w:rsid w:val="00245EB3"/>
    <w:rsid w:val="00247455"/>
    <w:rsid w:val="002479DA"/>
    <w:rsid w:val="00247C94"/>
    <w:rsid w:val="00250D82"/>
    <w:rsid w:val="002511DD"/>
    <w:rsid w:val="00251312"/>
    <w:rsid w:val="00251356"/>
    <w:rsid w:val="0025210C"/>
    <w:rsid w:val="002524F2"/>
    <w:rsid w:val="00252765"/>
    <w:rsid w:val="00252C22"/>
    <w:rsid w:val="00254173"/>
    <w:rsid w:val="00256623"/>
    <w:rsid w:val="00256670"/>
    <w:rsid w:val="0025675E"/>
    <w:rsid w:val="0026159B"/>
    <w:rsid w:val="0026169F"/>
    <w:rsid w:val="00261A14"/>
    <w:rsid w:val="002626D4"/>
    <w:rsid w:val="002635DB"/>
    <w:rsid w:val="00264CDA"/>
    <w:rsid w:val="00264F3D"/>
    <w:rsid w:val="002652C5"/>
    <w:rsid w:val="00265737"/>
    <w:rsid w:val="00265978"/>
    <w:rsid w:val="00265C61"/>
    <w:rsid w:val="00266402"/>
    <w:rsid w:val="0026660D"/>
    <w:rsid w:val="00271215"/>
    <w:rsid w:val="002714F3"/>
    <w:rsid w:val="00274087"/>
    <w:rsid w:val="00274CEB"/>
    <w:rsid w:val="00275364"/>
    <w:rsid w:val="00275425"/>
    <w:rsid w:val="0027585B"/>
    <w:rsid w:val="00276336"/>
    <w:rsid w:val="0027668B"/>
    <w:rsid w:val="00276B9E"/>
    <w:rsid w:val="00277673"/>
    <w:rsid w:val="00277F9A"/>
    <w:rsid w:val="00281AB2"/>
    <w:rsid w:val="00282419"/>
    <w:rsid w:val="00283A6E"/>
    <w:rsid w:val="002848DE"/>
    <w:rsid w:val="00286920"/>
    <w:rsid w:val="00286FEA"/>
    <w:rsid w:val="002870BC"/>
    <w:rsid w:val="00287D5F"/>
    <w:rsid w:val="00290133"/>
    <w:rsid w:val="0029095D"/>
    <w:rsid w:val="00290EF4"/>
    <w:rsid w:val="00292282"/>
    <w:rsid w:val="0029263A"/>
    <w:rsid w:val="00292B95"/>
    <w:rsid w:val="00293194"/>
    <w:rsid w:val="00294237"/>
    <w:rsid w:val="0029487F"/>
    <w:rsid w:val="00294DB6"/>
    <w:rsid w:val="00295A1E"/>
    <w:rsid w:val="00295DE3"/>
    <w:rsid w:val="0029606B"/>
    <w:rsid w:val="002964D6"/>
    <w:rsid w:val="00297666"/>
    <w:rsid w:val="002977BA"/>
    <w:rsid w:val="002A0141"/>
    <w:rsid w:val="002A044F"/>
    <w:rsid w:val="002A11E1"/>
    <w:rsid w:val="002A1296"/>
    <w:rsid w:val="002A1939"/>
    <w:rsid w:val="002A2DE5"/>
    <w:rsid w:val="002A3009"/>
    <w:rsid w:val="002A341F"/>
    <w:rsid w:val="002A3807"/>
    <w:rsid w:val="002A3B6D"/>
    <w:rsid w:val="002A41EA"/>
    <w:rsid w:val="002A4A44"/>
    <w:rsid w:val="002A542E"/>
    <w:rsid w:val="002A572A"/>
    <w:rsid w:val="002A5A22"/>
    <w:rsid w:val="002A6749"/>
    <w:rsid w:val="002A7620"/>
    <w:rsid w:val="002A78D7"/>
    <w:rsid w:val="002A7F79"/>
    <w:rsid w:val="002B0CF6"/>
    <w:rsid w:val="002B3928"/>
    <w:rsid w:val="002B42F0"/>
    <w:rsid w:val="002B4792"/>
    <w:rsid w:val="002B5FE0"/>
    <w:rsid w:val="002B7A2F"/>
    <w:rsid w:val="002C0A78"/>
    <w:rsid w:val="002C11D8"/>
    <w:rsid w:val="002C13C4"/>
    <w:rsid w:val="002C1996"/>
    <w:rsid w:val="002C2394"/>
    <w:rsid w:val="002C37C3"/>
    <w:rsid w:val="002C4142"/>
    <w:rsid w:val="002C4E33"/>
    <w:rsid w:val="002C50C7"/>
    <w:rsid w:val="002C601A"/>
    <w:rsid w:val="002C61CC"/>
    <w:rsid w:val="002C6229"/>
    <w:rsid w:val="002C6978"/>
    <w:rsid w:val="002C69F0"/>
    <w:rsid w:val="002C73D4"/>
    <w:rsid w:val="002D0590"/>
    <w:rsid w:val="002D086B"/>
    <w:rsid w:val="002D1F8C"/>
    <w:rsid w:val="002D2114"/>
    <w:rsid w:val="002D2565"/>
    <w:rsid w:val="002D4462"/>
    <w:rsid w:val="002D4E97"/>
    <w:rsid w:val="002D50DE"/>
    <w:rsid w:val="002D56F8"/>
    <w:rsid w:val="002D5A4B"/>
    <w:rsid w:val="002D7803"/>
    <w:rsid w:val="002D7D0F"/>
    <w:rsid w:val="002E07A1"/>
    <w:rsid w:val="002E099F"/>
    <w:rsid w:val="002E13CC"/>
    <w:rsid w:val="002E176F"/>
    <w:rsid w:val="002E20CA"/>
    <w:rsid w:val="002E2126"/>
    <w:rsid w:val="002E248F"/>
    <w:rsid w:val="002E34B9"/>
    <w:rsid w:val="002E3691"/>
    <w:rsid w:val="002E4D22"/>
    <w:rsid w:val="002E5A24"/>
    <w:rsid w:val="002E5ADB"/>
    <w:rsid w:val="002E6ABB"/>
    <w:rsid w:val="002E715A"/>
    <w:rsid w:val="002E74F7"/>
    <w:rsid w:val="002E7707"/>
    <w:rsid w:val="002E77C6"/>
    <w:rsid w:val="002E78D7"/>
    <w:rsid w:val="002E7917"/>
    <w:rsid w:val="002F026A"/>
    <w:rsid w:val="002F0D3C"/>
    <w:rsid w:val="002F1631"/>
    <w:rsid w:val="002F17A9"/>
    <w:rsid w:val="002F3432"/>
    <w:rsid w:val="002F382C"/>
    <w:rsid w:val="002F3F7E"/>
    <w:rsid w:val="002F3FD7"/>
    <w:rsid w:val="002F4C9C"/>
    <w:rsid w:val="002F4ECD"/>
    <w:rsid w:val="002F57AA"/>
    <w:rsid w:val="002F601E"/>
    <w:rsid w:val="002F67E8"/>
    <w:rsid w:val="002F71A9"/>
    <w:rsid w:val="002F7D01"/>
    <w:rsid w:val="002F7D4B"/>
    <w:rsid w:val="002F7DA6"/>
    <w:rsid w:val="003005A3"/>
    <w:rsid w:val="00300B3B"/>
    <w:rsid w:val="00301D6B"/>
    <w:rsid w:val="00301E31"/>
    <w:rsid w:val="00302166"/>
    <w:rsid w:val="00303884"/>
    <w:rsid w:val="003043F8"/>
    <w:rsid w:val="00304FB9"/>
    <w:rsid w:val="00306AC7"/>
    <w:rsid w:val="003101C5"/>
    <w:rsid w:val="00310A3C"/>
    <w:rsid w:val="00311421"/>
    <w:rsid w:val="00311796"/>
    <w:rsid w:val="00311FC8"/>
    <w:rsid w:val="00312E18"/>
    <w:rsid w:val="00313456"/>
    <w:rsid w:val="003152B1"/>
    <w:rsid w:val="00315679"/>
    <w:rsid w:val="00315D7E"/>
    <w:rsid w:val="00316437"/>
    <w:rsid w:val="00316A0E"/>
    <w:rsid w:val="00316D34"/>
    <w:rsid w:val="00317FDC"/>
    <w:rsid w:val="0032013D"/>
    <w:rsid w:val="00320315"/>
    <w:rsid w:val="00320BB7"/>
    <w:rsid w:val="0032105B"/>
    <w:rsid w:val="00321B5A"/>
    <w:rsid w:val="00321D49"/>
    <w:rsid w:val="00321D9E"/>
    <w:rsid w:val="00322EF0"/>
    <w:rsid w:val="0032404D"/>
    <w:rsid w:val="003245AE"/>
    <w:rsid w:val="00324A5C"/>
    <w:rsid w:val="0032500F"/>
    <w:rsid w:val="00325601"/>
    <w:rsid w:val="003257FC"/>
    <w:rsid w:val="00326410"/>
    <w:rsid w:val="003268AB"/>
    <w:rsid w:val="00326DCB"/>
    <w:rsid w:val="0032715A"/>
    <w:rsid w:val="003272B3"/>
    <w:rsid w:val="00327CA2"/>
    <w:rsid w:val="00331BDF"/>
    <w:rsid w:val="00331CD8"/>
    <w:rsid w:val="00331E9C"/>
    <w:rsid w:val="00333368"/>
    <w:rsid w:val="00333715"/>
    <w:rsid w:val="0033442C"/>
    <w:rsid w:val="00334853"/>
    <w:rsid w:val="00335749"/>
    <w:rsid w:val="003357C6"/>
    <w:rsid w:val="00335DEE"/>
    <w:rsid w:val="00336076"/>
    <w:rsid w:val="00337401"/>
    <w:rsid w:val="003377BA"/>
    <w:rsid w:val="00340C4F"/>
    <w:rsid w:val="0034153C"/>
    <w:rsid w:val="00341579"/>
    <w:rsid w:val="00341B3D"/>
    <w:rsid w:val="003424BF"/>
    <w:rsid w:val="00343AFD"/>
    <w:rsid w:val="00343E91"/>
    <w:rsid w:val="00343FF8"/>
    <w:rsid w:val="003448E6"/>
    <w:rsid w:val="003453CB"/>
    <w:rsid w:val="00347BAE"/>
    <w:rsid w:val="0035387F"/>
    <w:rsid w:val="0035399D"/>
    <w:rsid w:val="00353E01"/>
    <w:rsid w:val="00354FCE"/>
    <w:rsid w:val="00355957"/>
    <w:rsid w:val="00355BD1"/>
    <w:rsid w:val="00356BA6"/>
    <w:rsid w:val="003574D8"/>
    <w:rsid w:val="00357D51"/>
    <w:rsid w:val="00357EE5"/>
    <w:rsid w:val="00361A54"/>
    <w:rsid w:val="0036328D"/>
    <w:rsid w:val="003642C5"/>
    <w:rsid w:val="003646EF"/>
    <w:rsid w:val="00364E06"/>
    <w:rsid w:val="00365270"/>
    <w:rsid w:val="0036564D"/>
    <w:rsid w:val="003661F0"/>
    <w:rsid w:val="00367193"/>
    <w:rsid w:val="00367F6A"/>
    <w:rsid w:val="00370110"/>
    <w:rsid w:val="00370CA2"/>
    <w:rsid w:val="0037105D"/>
    <w:rsid w:val="00372F27"/>
    <w:rsid w:val="00373292"/>
    <w:rsid w:val="00373597"/>
    <w:rsid w:val="00373822"/>
    <w:rsid w:val="00373953"/>
    <w:rsid w:val="00373C9B"/>
    <w:rsid w:val="003747AA"/>
    <w:rsid w:val="00374CBA"/>
    <w:rsid w:val="00374DBF"/>
    <w:rsid w:val="00375565"/>
    <w:rsid w:val="00375CFD"/>
    <w:rsid w:val="003769F2"/>
    <w:rsid w:val="003800DE"/>
    <w:rsid w:val="00382C57"/>
    <w:rsid w:val="00383C65"/>
    <w:rsid w:val="00384486"/>
    <w:rsid w:val="003849F2"/>
    <w:rsid w:val="00384C5F"/>
    <w:rsid w:val="00384CFC"/>
    <w:rsid w:val="00384E09"/>
    <w:rsid w:val="0038525C"/>
    <w:rsid w:val="00385356"/>
    <w:rsid w:val="003854AF"/>
    <w:rsid w:val="00385705"/>
    <w:rsid w:val="0038659B"/>
    <w:rsid w:val="00386B9E"/>
    <w:rsid w:val="00387411"/>
    <w:rsid w:val="00387D75"/>
    <w:rsid w:val="00387EED"/>
    <w:rsid w:val="003900BE"/>
    <w:rsid w:val="00390A09"/>
    <w:rsid w:val="00390C20"/>
    <w:rsid w:val="0039151D"/>
    <w:rsid w:val="00391EE0"/>
    <w:rsid w:val="00392504"/>
    <w:rsid w:val="00392E7E"/>
    <w:rsid w:val="00392E9C"/>
    <w:rsid w:val="00393375"/>
    <w:rsid w:val="00393658"/>
    <w:rsid w:val="003938C5"/>
    <w:rsid w:val="003949C2"/>
    <w:rsid w:val="00396403"/>
    <w:rsid w:val="00396BFA"/>
    <w:rsid w:val="00397B25"/>
    <w:rsid w:val="003A008A"/>
    <w:rsid w:val="003A2A67"/>
    <w:rsid w:val="003A2D1C"/>
    <w:rsid w:val="003A37C0"/>
    <w:rsid w:val="003A39DA"/>
    <w:rsid w:val="003A42D3"/>
    <w:rsid w:val="003A4F1E"/>
    <w:rsid w:val="003A5C98"/>
    <w:rsid w:val="003A76FE"/>
    <w:rsid w:val="003B04BD"/>
    <w:rsid w:val="003B07DE"/>
    <w:rsid w:val="003B0C1B"/>
    <w:rsid w:val="003B16B2"/>
    <w:rsid w:val="003B4E43"/>
    <w:rsid w:val="003B603A"/>
    <w:rsid w:val="003B61F1"/>
    <w:rsid w:val="003B6C7A"/>
    <w:rsid w:val="003B7474"/>
    <w:rsid w:val="003B7F8B"/>
    <w:rsid w:val="003C02A1"/>
    <w:rsid w:val="003C0572"/>
    <w:rsid w:val="003C33B5"/>
    <w:rsid w:val="003C4C3E"/>
    <w:rsid w:val="003C5532"/>
    <w:rsid w:val="003C5F01"/>
    <w:rsid w:val="003C6CA3"/>
    <w:rsid w:val="003D03B0"/>
    <w:rsid w:val="003D1894"/>
    <w:rsid w:val="003D1EF0"/>
    <w:rsid w:val="003D3B43"/>
    <w:rsid w:val="003D50E5"/>
    <w:rsid w:val="003D5162"/>
    <w:rsid w:val="003D567C"/>
    <w:rsid w:val="003D6011"/>
    <w:rsid w:val="003D62E8"/>
    <w:rsid w:val="003D6C38"/>
    <w:rsid w:val="003D705A"/>
    <w:rsid w:val="003D7638"/>
    <w:rsid w:val="003D7785"/>
    <w:rsid w:val="003E01A1"/>
    <w:rsid w:val="003E04E5"/>
    <w:rsid w:val="003E0B74"/>
    <w:rsid w:val="003E1013"/>
    <w:rsid w:val="003E1243"/>
    <w:rsid w:val="003E1477"/>
    <w:rsid w:val="003E1CF8"/>
    <w:rsid w:val="003E28A3"/>
    <w:rsid w:val="003E2B3F"/>
    <w:rsid w:val="003E318F"/>
    <w:rsid w:val="003E338E"/>
    <w:rsid w:val="003E3729"/>
    <w:rsid w:val="003E424E"/>
    <w:rsid w:val="003E4CC9"/>
    <w:rsid w:val="003E5733"/>
    <w:rsid w:val="003E586E"/>
    <w:rsid w:val="003E745E"/>
    <w:rsid w:val="003E79AB"/>
    <w:rsid w:val="003F0939"/>
    <w:rsid w:val="003F292B"/>
    <w:rsid w:val="003F308F"/>
    <w:rsid w:val="003F311F"/>
    <w:rsid w:val="003F3176"/>
    <w:rsid w:val="003F6ADA"/>
    <w:rsid w:val="003F7C49"/>
    <w:rsid w:val="003F7DFB"/>
    <w:rsid w:val="004000E9"/>
    <w:rsid w:val="0040016A"/>
    <w:rsid w:val="0040074A"/>
    <w:rsid w:val="00401F9B"/>
    <w:rsid w:val="0040260D"/>
    <w:rsid w:val="00402A56"/>
    <w:rsid w:val="004034EE"/>
    <w:rsid w:val="0040653B"/>
    <w:rsid w:val="004065C7"/>
    <w:rsid w:val="00406E73"/>
    <w:rsid w:val="00407466"/>
    <w:rsid w:val="00407AF5"/>
    <w:rsid w:val="00407BD3"/>
    <w:rsid w:val="00407E35"/>
    <w:rsid w:val="004112F4"/>
    <w:rsid w:val="00411500"/>
    <w:rsid w:val="0041197A"/>
    <w:rsid w:val="00411A69"/>
    <w:rsid w:val="00412097"/>
    <w:rsid w:val="004121EE"/>
    <w:rsid w:val="00412EF3"/>
    <w:rsid w:val="00414619"/>
    <w:rsid w:val="00414839"/>
    <w:rsid w:val="00415C8F"/>
    <w:rsid w:val="00415EED"/>
    <w:rsid w:val="004163D5"/>
    <w:rsid w:val="00416815"/>
    <w:rsid w:val="00417115"/>
    <w:rsid w:val="00420D52"/>
    <w:rsid w:val="00424994"/>
    <w:rsid w:val="00425AA5"/>
    <w:rsid w:val="00425B0E"/>
    <w:rsid w:val="004260C6"/>
    <w:rsid w:val="00426A8A"/>
    <w:rsid w:val="00427E60"/>
    <w:rsid w:val="004301FF"/>
    <w:rsid w:val="00430577"/>
    <w:rsid w:val="004307F4"/>
    <w:rsid w:val="00431132"/>
    <w:rsid w:val="00431474"/>
    <w:rsid w:val="00432C8E"/>
    <w:rsid w:val="00432F34"/>
    <w:rsid w:val="0043445C"/>
    <w:rsid w:val="00434672"/>
    <w:rsid w:val="00434930"/>
    <w:rsid w:val="004352AB"/>
    <w:rsid w:val="00435FEE"/>
    <w:rsid w:val="004367F3"/>
    <w:rsid w:val="00437675"/>
    <w:rsid w:val="0044022E"/>
    <w:rsid w:val="004413E5"/>
    <w:rsid w:val="004413F1"/>
    <w:rsid w:val="00441503"/>
    <w:rsid w:val="00441999"/>
    <w:rsid w:val="00441EFA"/>
    <w:rsid w:val="004427CA"/>
    <w:rsid w:val="004428BD"/>
    <w:rsid w:val="004428DB"/>
    <w:rsid w:val="004430D3"/>
    <w:rsid w:val="00443F03"/>
    <w:rsid w:val="00444535"/>
    <w:rsid w:val="0044482B"/>
    <w:rsid w:val="00445982"/>
    <w:rsid w:val="00445A59"/>
    <w:rsid w:val="00445C31"/>
    <w:rsid w:val="004462F3"/>
    <w:rsid w:val="00446A4B"/>
    <w:rsid w:val="00447721"/>
    <w:rsid w:val="00450CD1"/>
    <w:rsid w:val="00451596"/>
    <w:rsid w:val="00452393"/>
    <w:rsid w:val="00452721"/>
    <w:rsid w:val="00452CC4"/>
    <w:rsid w:val="00453EEE"/>
    <w:rsid w:val="00454CC4"/>
    <w:rsid w:val="0045529B"/>
    <w:rsid w:val="00455D5A"/>
    <w:rsid w:val="00456E0A"/>
    <w:rsid w:val="00457747"/>
    <w:rsid w:val="00457772"/>
    <w:rsid w:val="00457C0F"/>
    <w:rsid w:val="00457FB3"/>
    <w:rsid w:val="00460064"/>
    <w:rsid w:val="004622F3"/>
    <w:rsid w:val="00463F5B"/>
    <w:rsid w:val="0046494B"/>
    <w:rsid w:val="00465F26"/>
    <w:rsid w:val="00465FF3"/>
    <w:rsid w:val="00466141"/>
    <w:rsid w:val="00466C80"/>
    <w:rsid w:val="00467360"/>
    <w:rsid w:val="00467E02"/>
    <w:rsid w:val="00467EFD"/>
    <w:rsid w:val="00470474"/>
    <w:rsid w:val="00470C54"/>
    <w:rsid w:val="0047295E"/>
    <w:rsid w:val="00472F6F"/>
    <w:rsid w:val="00473863"/>
    <w:rsid w:val="00473FE6"/>
    <w:rsid w:val="00474139"/>
    <w:rsid w:val="004743CA"/>
    <w:rsid w:val="00475828"/>
    <w:rsid w:val="00475EE1"/>
    <w:rsid w:val="00475F07"/>
    <w:rsid w:val="004760B9"/>
    <w:rsid w:val="00476547"/>
    <w:rsid w:val="00477879"/>
    <w:rsid w:val="00477993"/>
    <w:rsid w:val="004779DA"/>
    <w:rsid w:val="004815D2"/>
    <w:rsid w:val="00481F0E"/>
    <w:rsid w:val="00482620"/>
    <w:rsid w:val="00482756"/>
    <w:rsid w:val="00482C8F"/>
    <w:rsid w:val="00484083"/>
    <w:rsid w:val="004843EB"/>
    <w:rsid w:val="00484C5A"/>
    <w:rsid w:val="00484E06"/>
    <w:rsid w:val="00485063"/>
    <w:rsid w:val="00485728"/>
    <w:rsid w:val="0048632F"/>
    <w:rsid w:val="004869CE"/>
    <w:rsid w:val="004873DB"/>
    <w:rsid w:val="00487F15"/>
    <w:rsid w:val="004903A4"/>
    <w:rsid w:val="00490C65"/>
    <w:rsid w:val="00490E52"/>
    <w:rsid w:val="0049174F"/>
    <w:rsid w:val="00491CA8"/>
    <w:rsid w:val="00491E0B"/>
    <w:rsid w:val="00493AE3"/>
    <w:rsid w:val="004A1E2B"/>
    <w:rsid w:val="004A331C"/>
    <w:rsid w:val="004A375A"/>
    <w:rsid w:val="004A45DA"/>
    <w:rsid w:val="004A469E"/>
    <w:rsid w:val="004A4878"/>
    <w:rsid w:val="004A4EDC"/>
    <w:rsid w:val="004A5EAE"/>
    <w:rsid w:val="004A70EF"/>
    <w:rsid w:val="004A770E"/>
    <w:rsid w:val="004B1A99"/>
    <w:rsid w:val="004B33DD"/>
    <w:rsid w:val="004B3530"/>
    <w:rsid w:val="004B3B0B"/>
    <w:rsid w:val="004B3D28"/>
    <w:rsid w:val="004B4169"/>
    <w:rsid w:val="004B4722"/>
    <w:rsid w:val="004B53FA"/>
    <w:rsid w:val="004B5AD2"/>
    <w:rsid w:val="004B603A"/>
    <w:rsid w:val="004B633A"/>
    <w:rsid w:val="004B677F"/>
    <w:rsid w:val="004B6AFB"/>
    <w:rsid w:val="004B7155"/>
    <w:rsid w:val="004C0E67"/>
    <w:rsid w:val="004C1EB6"/>
    <w:rsid w:val="004C2674"/>
    <w:rsid w:val="004C425D"/>
    <w:rsid w:val="004C6300"/>
    <w:rsid w:val="004C70D4"/>
    <w:rsid w:val="004C7455"/>
    <w:rsid w:val="004C7BD9"/>
    <w:rsid w:val="004D0986"/>
    <w:rsid w:val="004D0EBF"/>
    <w:rsid w:val="004D1C1C"/>
    <w:rsid w:val="004D238C"/>
    <w:rsid w:val="004D279D"/>
    <w:rsid w:val="004D3D0B"/>
    <w:rsid w:val="004D4B75"/>
    <w:rsid w:val="004D4E78"/>
    <w:rsid w:val="004D58C9"/>
    <w:rsid w:val="004D6CFD"/>
    <w:rsid w:val="004E0002"/>
    <w:rsid w:val="004E013F"/>
    <w:rsid w:val="004E0F05"/>
    <w:rsid w:val="004E0FEF"/>
    <w:rsid w:val="004E128B"/>
    <w:rsid w:val="004E2EB1"/>
    <w:rsid w:val="004E31ED"/>
    <w:rsid w:val="004E44A6"/>
    <w:rsid w:val="004E4AAD"/>
    <w:rsid w:val="004E4EB3"/>
    <w:rsid w:val="004E5315"/>
    <w:rsid w:val="004E598E"/>
    <w:rsid w:val="004E5DAE"/>
    <w:rsid w:val="004E5FA0"/>
    <w:rsid w:val="004E647F"/>
    <w:rsid w:val="004E721F"/>
    <w:rsid w:val="004F07F6"/>
    <w:rsid w:val="004F0BE3"/>
    <w:rsid w:val="004F0F41"/>
    <w:rsid w:val="004F1197"/>
    <w:rsid w:val="004F1E55"/>
    <w:rsid w:val="004F2008"/>
    <w:rsid w:val="004F353C"/>
    <w:rsid w:val="004F3A03"/>
    <w:rsid w:val="004F4C46"/>
    <w:rsid w:val="004F564B"/>
    <w:rsid w:val="004F5C8E"/>
    <w:rsid w:val="004F63CB"/>
    <w:rsid w:val="004F6BDD"/>
    <w:rsid w:val="004F6D4F"/>
    <w:rsid w:val="004F7D3A"/>
    <w:rsid w:val="005009B1"/>
    <w:rsid w:val="00500F97"/>
    <w:rsid w:val="005023C2"/>
    <w:rsid w:val="0050254A"/>
    <w:rsid w:val="00502D1A"/>
    <w:rsid w:val="005030AE"/>
    <w:rsid w:val="00503940"/>
    <w:rsid w:val="005048BC"/>
    <w:rsid w:val="00504B75"/>
    <w:rsid w:val="00504F38"/>
    <w:rsid w:val="00504FEE"/>
    <w:rsid w:val="005058B9"/>
    <w:rsid w:val="00506DEA"/>
    <w:rsid w:val="005075D4"/>
    <w:rsid w:val="00507C7F"/>
    <w:rsid w:val="00513848"/>
    <w:rsid w:val="00513B00"/>
    <w:rsid w:val="00513EAB"/>
    <w:rsid w:val="0051479C"/>
    <w:rsid w:val="005157DD"/>
    <w:rsid w:val="0051633F"/>
    <w:rsid w:val="00516451"/>
    <w:rsid w:val="005168CA"/>
    <w:rsid w:val="005168FF"/>
    <w:rsid w:val="00517882"/>
    <w:rsid w:val="00517D2E"/>
    <w:rsid w:val="00520455"/>
    <w:rsid w:val="005210E4"/>
    <w:rsid w:val="005231BA"/>
    <w:rsid w:val="005233AA"/>
    <w:rsid w:val="005233EC"/>
    <w:rsid w:val="0052425E"/>
    <w:rsid w:val="005247F1"/>
    <w:rsid w:val="0052541C"/>
    <w:rsid w:val="00525AF9"/>
    <w:rsid w:val="00525B6B"/>
    <w:rsid w:val="00527A99"/>
    <w:rsid w:val="00530226"/>
    <w:rsid w:val="00530279"/>
    <w:rsid w:val="00530422"/>
    <w:rsid w:val="00530EBE"/>
    <w:rsid w:val="00532512"/>
    <w:rsid w:val="00533EBF"/>
    <w:rsid w:val="00534596"/>
    <w:rsid w:val="00534F65"/>
    <w:rsid w:val="005363CF"/>
    <w:rsid w:val="0054117C"/>
    <w:rsid w:val="0054196B"/>
    <w:rsid w:val="00543D8A"/>
    <w:rsid w:val="005460F2"/>
    <w:rsid w:val="00546268"/>
    <w:rsid w:val="00546ACC"/>
    <w:rsid w:val="005478ED"/>
    <w:rsid w:val="00550093"/>
    <w:rsid w:val="0055151B"/>
    <w:rsid w:val="0055177D"/>
    <w:rsid w:val="0055219C"/>
    <w:rsid w:val="00552321"/>
    <w:rsid w:val="00552906"/>
    <w:rsid w:val="005530AC"/>
    <w:rsid w:val="00554717"/>
    <w:rsid w:val="005548A9"/>
    <w:rsid w:val="0055587E"/>
    <w:rsid w:val="00555C38"/>
    <w:rsid w:val="00556ABB"/>
    <w:rsid w:val="005574A8"/>
    <w:rsid w:val="00557BAB"/>
    <w:rsid w:val="00560423"/>
    <w:rsid w:val="005605E5"/>
    <w:rsid w:val="005607E4"/>
    <w:rsid w:val="00560E2D"/>
    <w:rsid w:val="005612CF"/>
    <w:rsid w:val="00561D68"/>
    <w:rsid w:val="00561F4A"/>
    <w:rsid w:val="00561F7D"/>
    <w:rsid w:val="0056278D"/>
    <w:rsid w:val="00563A39"/>
    <w:rsid w:val="00564016"/>
    <w:rsid w:val="005655AF"/>
    <w:rsid w:val="00566447"/>
    <w:rsid w:val="005668EB"/>
    <w:rsid w:val="00567347"/>
    <w:rsid w:val="005673DF"/>
    <w:rsid w:val="0056754E"/>
    <w:rsid w:val="00567983"/>
    <w:rsid w:val="00570426"/>
    <w:rsid w:val="005706C3"/>
    <w:rsid w:val="00570988"/>
    <w:rsid w:val="00570F2A"/>
    <w:rsid w:val="005719ED"/>
    <w:rsid w:val="00573071"/>
    <w:rsid w:val="0057311D"/>
    <w:rsid w:val="00573E2C"/>
    <w:rsid w:val="0057536E"/>
    <w:rsid w:val="005758D8"/>
    <w:rsid w:val="0057743A"/>
    <w:rsid w:val="0057785D"/>
    <w:rsid w:val="005802A8"/>
    <w:rsid w:val="00580F1A"/>
    <w:rsid w:val="00580FE7"/>
    <w:rsid w:val="00581B94"/>
    <w:rsid w:val="00582413"/>
    <w:rsid w:val="0058313F"/>
    <w:rsid w:val="0058326E"/>
    <w:rsid w:val="005834C6"/>
    <w:rsid w:val="0058370A"/>
    <w:rsid w:val="0058396B"/>
    <w:rsid w:val="00583B7C"/>
    <w:rsid w:val="00584053"/>
    <w:rsid w:val="00584D75"/>
    <w:rsid w:val="005856B4"/>
    <w:rsid w:val="0058644E"/>
    <w:rsid w:val="00590B03"/>
    <w:rsid w:val="00590B96"/>
    <w:rsid w:val="005923A0"/>
    <w:rsid w:val="00592ADE"/>
    <w:rsid w:val="00593EA8"/>
    <w:rsid w:val="00593F2F"/>
    <w:rsid w:val="0059414C"/>
    <w:rsid w:val="00594DA8"/>
    <w:rsid w:val="005950EF"/>
    <w:rsid w:val="005956BA"/>
    <w:rsid w:val="00595A47"/>
    <w:rsid w:val="00596F12"/>
    <w:rsid w:val="00596F50"/>
    <w:rsid w:val="0059728C"/>
    <w:rsid w:val="005974BB"/>
    <w:rsid w:val="00597D44"/>
    <w:rsid w:val="005A03B9"/>
    <w:rsid w:val="005A2206"/>
    <w:rsid w:val="005A22CF"/>
    <w:rsid w:val="005A239D"/>
    <w:rsid w:val="005A2D96"/>
    <w:rsid w:val="005A3A13"/>
    <w:rsid w:val="005A46C8"/>
    <w:rsid w:val="005B13F4"/>
    <w:rsid w:val="005B1F0B"/>
    <w:rsid w:val="005B2873"/>
    <w:rsid w:val="005B30D5"/>
    <w:rsid w:val="005B4A5D"/>
    <w:rsid w:val="005B4DBA"/>
    <w:rsid w:val="005B578F"/>
    <w:rsid w:val="005B5E3E"/>
    <w:rsid w:val="005B6322"/>
    <w:rsid w:val="005B7A3C"/>
    <w:rsid w:val="005B7CBB"/>
    <w:rsid w:val="005B7F7D"/>
    <w:rsid w:val="005C02EE"/>
    <w:rsid w:val="005C112E"/>
    <w:rsid w:val="005C1E18"/>
    <w:rsid w:val="005C202D"/>
    <w:rsid w:val="005C234B"/>
    <w:rsid w:val="005C29C5"/>
    <w:rsid w:val="005C32A4"/>
    <w:rsid w:val="005C4193"/>
    <w:rsid w:val="005C5101"/>
    <w:rsid w:val="005C55F9"/>
    <w:rsid w:val="005C5ADE"/>
    <w:rsid w:val="005D07B9"/>
    <w:rsid w:val="005D13B0"/>
    <w:rsid w:val="005D14C0"/>
    <w:rsid w:val="005D1A73"/>
    <w:rsid w:val="005D2AD2"/>
    <w:rsid w:val="005D36FD"/>
    <w:rsid w:val="005D39CF"/>
    <w:rsid w:val="005D3A25"/>
    <w:rsid w:val="005D41D3"/>
    <w:rsid w:val="005D4A97"/>
    <w:rsid w:val="005D50E9"/>
    <w:rsid w:val="005D7D22"/>
    <w:rsid w:val="005E069C"/>
    <w:rsid w:val="005E1D8C"/>
    <w:rsid w:val="005E1E09"/>
    <w:rsid w:val="005E1E1F"/>
    <w:rsid w:val="005E2149"/>
    <w:rsid w:val="005E218C"/>
    <w:rsid w:val="005E4404"/>
    <w:rsid w:val="005E4DB0"/>
    <w:rsid w:val="005E58A3"/>
    <w:rsid w:val="005E59EB"/>
    <w:rsid w:val="005E61F9"/>
    <w:rsid w:val="005E67FF"/>
    <w:rsid w:val="005E6CB1"/>
    <w:rsid w:val="005E6E3F"/>
    <w:rsid w:val="005F1504"/>
    <w:rsid w:val="005F29AE"/>
    <w:rsid w:val="005F2E56"/>
    <w:rsid w:val="005F3535"/>
    <w:rsid w:val="005F3AE7"/>
    <w:rsid w:val="005F48CA"/>
    <w:rsid w:val="005F5228"/>
    <w:rsid w:val="005F54E3"/>
    <w:rsid w:val="005F575A"/>
    <w:rsid w:val="005F6A40"/>
    <w:rsid w:val="005F70A8"/>
    <w:rsid w:val="005F79A0"/>
    <w:rsid w:val="00600E53"/>
    <w:rsid w:val="0060154B"/>
    <w:rsid w:val="00601AC1"/>
    <w:rsid w:val="0060233D"/>
    <w:rsid w:val="00602841"/>
    <w:rsid w:val="0060299A"/>
    <w:rsid w:val="006031F1"/>
    <w:rsid w:val="00603F3A"/>
    <w:rsid w:val="006046C4"/>
    <w:rsid w:val="00604BA5"/>
    <w:rsid w:val="00604C24"/>
    <w:rsid w:val="00604F05"/>
    <w:rsid w:val="006062E3"/>
    <w:rsid w:val="00606887"/>
    <w:rsid w:val="00607CE2"/>
    <w:rsid w:val="00607D32"/>
    <w:rsid w:val="00610538"/>
    <w:rsid w:val="00611B8F"/>
    <w:rsid w:val="006141B5"/>
    <w:rsid w:val="00614EE2"/>
    <w:rsid w:val="0061654D"/>
    <w:rsid w:val="006204BE"/>
    <w:rsid w:val="00620C86"/>
    <w:rsid w:val="006211D9"/>
    <w:rsid w:val="006228EB"/>
    <w:rsid w:val="006229B8"/>
    <w:rsid w:val="00622AB3"/>
    <w:rsid w:val="00622B68"/>
    <w:rsid w:val="00623175"/>
    <w:rsid w:val="00623C13"/>
    <w:rsid w:val="00623E9C"/>
    <w:rsid w:val="00624111"/>
    <w:rsid w:val="00624481"/>
    <w:rsid w:val="00624701"/>
    <w:rsid w:val="006249E4"/>
    <w:rsid w:val="00624FA5"/>
    <w:rsid w:val="006254F6"/>
    <w:rsid w:val="006266C1"/>
    <w:rsid w:val="006270F8"/>
    <w:rsid w:val="006270FF"/>
    <w:rsid w:val="00627318"/>
    <w:rsid w:val="00630BCF"/>
    <w:rsid w:val="006318F9"/>
    <w:rsid w:val="0063218A"/>
    <w:rsid w:val="00632D83"/>
    <w:rsid w:val="00633082"/>
    <w:rsid w:val="00633169"/>
    <w:rsid w:val="0063325E"/>
    <w:rsid w:val="0063422C"/>
    <w:rsid w:val="006345F7"/>
    <w:rsid w:val="0063469B"/>
    <w:rsid w:val="006352D6"/>
    <w:rsid w:val="00635A36"/>
    <w:rsid w:val="00635F57"/>
    <w:rsid w:val="0063680E"/>
    <w:rsid w:val="00636DCC"/>
    <w:rsid w:val="00637EFB"/>
    <w:rsid w:val="00640578"/>
    <w:rsid w:val="00640EA0"/>
    <w:rsid w:val="00641913"/>
    <w:rsid w:val="006436B0"/>
    <w:rsid w:val="00643D3B"/>
    <w:rsid w:val="00643F38"/>
    <w:rsid w:val="0064451A"/>
    <w:rsid w:val="00646189"/>
    <w:rsid w:val="006461E5"/>
    <w:rsid w:val="00647308"/>
    <w:rsid w:val="00650365"/>
    <w:rsid w:val="006505B2"/>
    <w:rsid w:val="00650F22"/>
    <w:rsid w:val="006531B1"/>
    <w:rsid w:val="006531C6"/>
    <w:rsid w:val="00653743"/>
    <w:rsid w:val="0065425D"/>
    <w:rsid w:val="0065611B"/>
    <w:rsid w:val="0065671B"/>
    <w:rsid w:val="00656AA8"/>
    <w:rsid w:val="00656CAF"/>
    <w:rsid w:val="0065790C"/>
    <w:rsid w:val="00657D6A"/>
    <w:rsid w:val="006601FA"/>
    <w:rsid w:val="00660C64"/>
    <w:rsid w:val="00661410"/>
    <w:rsid w:val="006614C1"/>
    <w:rsid w:val="006628C0"/>
    <w:rsid w:val="00662926"/>
    <w:rsid w:val="00663216"/>
    <w:rsid w:val="0066344B"/>
    <w:rsid w:val="00663868"/>
    <w:rsid w:val="00663B40"/>
    <w:rsid w:val="0066428D"/>
    <w:rsid w:val="006646B2"/>
    <w:rsid w:val="00664723"/>
    <w:rsid w:val="006647A2"/>
    <w:rsid w:val="006654A3"/>
    <w:rsid w:val="00665FE0"/>
    <w:rsid w:val="006665B0"/>
    <w:rsid w:val="00666617"/>
    <w:rsid w:val="00670651"/>
    <w:rsid w:val="00670B69"/>
    <w:rsid w:val="00674ABB"/>
    <w:rsid w:val="00674DD3"/>
    <w:rsid w:val="006760B6"/>
    <w:rsid w:val="00676245"/>
    <w:rsid w:val="00676F03"/>
    <w:rsid w:val="006772F3"/>
    <w:rsid w:val="006779B3"/>
    <w:rsid w:val="006779ED"/>
    <w:rsid w:val="00677B66"/>
    <w:rsid w:val="00680234"/>
    <w:rsid w:val="00680403"/>
    <w:rsid w:val="006817BA"/>
    <w:rsid w:val="00682FFA"/>
    <w:rsid w:val="00683125"/>
    <w:rsid w:val="0068329D"/>
    <w:rsid w:val="00683DBB"/>
    <w:rsid w:val="00683FE8"/>
    <w:rsid w:val="0068553A"/>
    <w:rsid w:val="006855C0"/>
    <w:rsid w:val="00685951"/>
    <w:rsid w:val="00685DE5"/>
    <w:rsid w:val="006866C1"/>
    <w:rsid w:val="0069048B"/>
    <w:rsid w:val="006904CB"/>
    <w:rsid w:val="00691EED"/>
    <w:rsid w:val="00692EF5"/>
    <w:rsid w:val="0069393F"/>
    <w:rsid w:val="00693FA9"/>
    <w:rsid w:val="00696396"/>
    <w:rsid w:val="006964B1"/>
    <w:rsid w:val="006A211A"/>
    <w:rsid w:val="006A22B5"/>
    <w:rsid w:val="006A2413"/>
    <w:rsid w:val="006A24C9"/>
    <w:rsid w:val="006A26A6"/>
    <w:rsid w:val="006A4202"/>
    <w:rsid w:val="006A4F02"/>
    <w:rsid w:val="006A52DC"/>
    <w:rsid w:val="006A552A"/>
    <w:rsid w:val="006A5DF2"/>
    <w:rsid w:val="006A6322"/>
    <w:rsid w:val="006A7299"/>
    <w:rsid w:val="006A74B2"/>
    <w:rsid w:val="006A7975"/>
    <w:rsid w:val="006A7CE2"/>
    <w:rsid w:val="006B0372"/>
    <w:rsid w:val="006B0554"/>
    <w:rsid w:val="006B0DBD"/>
    <w:rsid w:val="006B1F9D"/>
    <w:rsid w:val="006B25EF"/>
    <w:rsid w:val="006B28D3"/>
    <w:rsid w:val="006B2FCA"/>
    <w:rsid w:val="006B3C34"/>
    <w:rsid w:val="006B4188"/>
    <w:rsid w:val="006B5106"/>
    <w:rsid w:val="006B5344"/>
    <w:rsid w:val="006B5AEA"/>
    <w:rsid w:val="006B5AFA"/>
    <w:rsid w:val="006B734D"/>
    <w:rsid w:val="006C0CE9"/>
    <w:rsid w:val="006C128F"/>
    <w:rsid w:val="006C18E3"/>
    <w:rsid w:val="006C3524"/>
    <w:rsid w:val="006C3719"/>
    <w:rsid w:val="006C4F02"/>
    <w:rsid w:val="006C6047"/>
    <w:rsid w:val="006C6277"/>
    <w:rsid w:val="006C6CEB"/>
    <w:rsid w:val="006C7AB0"/>
    <w:rsid w:val="006C7F68"/>
    <w:rsid w:val="006D0251"/>
    <w:rsid w:val="006D02CA"/>
    <w:rsid w:val="006D0A98"/>
    <w:rsid w:val="006D224F"/>
    <w:rsid w:val="006D4926"/>
    <w:rsid w:val="006D532B"/>
    <w:rsid w:val="006D5C23"/>
    <w:rsid w:val="006E10C4"/>
    <w:rsid w:val="006E1C28"/>
    <w:rsid w:val="006E23AE"/>
    <w:rsid w:val="006E28BF"/>
    <w:rsid w:val="006E3326"/>
    <w:rsid w:val="006E3608"/>
    <w:rsid w:val="006E41BC"/>
    <w:rsid w:val="006E46BB"/>
    <w:rsid w:val="006E51B4"/>
    <w:rsid w:val="006E52CC"/>
    <w:rsid w:val="006E5326"/>
    <w:rsid w:val="006E53B2"/>
    <w:rsid w:val="006E79FC"/>
    <w:rsid w:val="006E7B1F"/>
    <w:rsid w:val="006F0EF8"/>
    <w:rsid w:val="006F0F1E"/>
    <w:rsid w:val="006F11EC"/>
    <w:rsid w:val="006F12F5"/>
    <w:rsid w:val="006F13F4"/>
    <w:rsid w:val="006F142C"/>
    <w:rsid w:val="006F196B"/>
    <w:rsid w:val="006F3B21"/>
    <w:rsid w:val="006F4D71"/>
    <w:rsid w:val="006F53B5"/>
    <w:rsid w:val="006F5653"/>
    <w:rsid w:val="006F601A"/>
    <w:rsid w:val="006F6246"/>
    <w:rsid w:val="006F68DA"/>
    <w:rsid w:val="006F6FCA"/>
    <w:rsid w:val="006F7B03"/>
    <w:rsid w:val="0070224D"/>
    <w:rsid w:val="0070252E"/>
    <w:rsid w:val="00702EB0"/>
    <w:rsid w:val="00703102"/>
    <w:rsid w:val="0070337D"/>
    <w:rsid w:val="00705EDA"/>
    <w:rsid w:val="007060A5"/>
    <w:rsid w:val="007067E7"/>
    <w:rsid w:val="0070685B"/>
    <w:rsid w:val="0070698F"/>
    <w:rsid w:val="007073CF"/>
    <w:rsid w:val="0070764C"/>
    <w:rsid w:val="00707AD1"/>
    <w:rsid w:val="00707DA0"/>
    <w:rsid w:val="0071258B"/>
    <w:rsid w:val="00714ACB"/>
    <w:rsid w:val="007163DD"/>
    <w:rsid w:val="00716A7E"/>
    <w:rsid w:val="00716E6B"/>
    <w:rsid w:val="007211C4"/>
    <w:rsid w:val="007232ED"/>
    <w:rsid w:val="00723604"/>
    <w:rsid w:val="007236BD"/>
    <w:rsid w:val="00723E2C"/>
    <w:rsid w:val="00723EE4"/>
    <w:rsid w:val="00724B8F"/>
    <w:rsid w:val="00724D28"/>
    <w:rsid w:val="00725011"/>
    <w:rsid w:val="00726A5C"/>
    <w:rsid w:val="0072753B"/>
    <w:rsid w:val="007302B3"/>
    <w:rsid w:val="00730503"/>
    <w:rsid w:val="00730BA3"/>
    <w:rsid w:val="00730ED6"/>
    <w:rsid w:val="00732AA3"/>
    <w:rsid w:val="00733A8D"/>
    <w:rsid w:val="007354FA"/>
    <w:rsid w:val="007359D7"/>
    <w:rsid w:val="00735C70"/>
    <w:rsid w:val="00737159"/>
    <w:rsid w:val="0074024C"/>
    <w:rsid w:val="00740547"/>
    <w:rsid w:val="00740D1D"/>
    <w:rsid w:val="00742077"/>
    <w:rsid w:val="007437D0"/>
    <w:rsid w:val="00743E39"/>
    <w:rsid w:val="0074428D"/>
    <w:rsid w:val="00744646"/>
    <w:rsid w:val="00744ACD"/>
    <w:rsid w:val="00745AE4"/>
    <w:rsid w:val="00746DCF"/>
    <w:rsid w:val="007472DB"/>
    <w:rsid w:val="007475DD"/>
    <w:rsid w:val="00750C6D"/>
    <w:rsid w:val="00750D86"/>
    <w:rsid w:val="00750DA7"/>
    <w:rsid w:val="0075160D"/>
    <w:rsid w:val="00751E6C"/>
    <w:rsid w:val="007525BA"/>
    <w:rsid w:val="00752D8E"/>
    <w:rsid w:val="00752DB1"/>
    <w:rsid w:val="00752E5A"/>
    <w:rsid w:val="00753A52"/>
    <w:rsid w:val="0075441C"/>
    <w:rsid w:val="00754BBD"/>
    <w:rsid w:val="00754EB5"/>
    <w:rsid w:val="007561D3"/>
    <w:rsid w:val="0075670E"/>
    <w:rsid w:val="00756F14"/>
    <w:rsid w:val="0075753E"/>
    <w:rsid w:val="00757562"/>
    <w:rsid w:val="00757DFB"/>
    <w:rsid w:val="00761757"/>
    <w:rsid w:val="007624EC"/>
    <w:rsid w:val="00763BF1"/>
    <w:rsid w:val="007640E3"/>
    <w:rsid w:val="007645AE"/>
    <w:rsid w:val="007648BC"/>
    <w:rsid w:val="00764F5F"/>
    <w:rsid w:val="00765C6F"/>
    <w:rsid w:val="00766845"/>
    <w:rsid w:val="007670D9"/>
    <w:rsid w:val="00767566"/>
    <w:rsid w:val="007706A3"/>
    <w:rsid w:val="00770A2C"/>
    <w:rsid w:val="00770EB0"/>
    <w:rsid w:val="0077286E"/>
    <w:rsid w:val="007729A6"/>
    <w:rsid w:val="00772B29"/>
    <w:rsid w:val="00773B57"/>
    <w:rsid w:val="007744D6"/>
    <w:rsid w:val="00774576"/>
    <w:rsid w:val="00774CB2"/>
    <w:rsid w:val="007759E2"/>
    <w:rsid w:val="00775B7D"/>
    <w:rsid w:val="00777B90"/>
    <w:rsid w:val="007806BC"/>
    <w:rsid w:val="0078172E"/>
    <w:rsid w:val="00782B4D"/>
    <w:rsid w:val="007836C9"/>
    <w:rsid w:val="0078379D"/>
    <w:rsid w:val="00787183"/>
    <w:rsid w:val="00787540"/>
    <w:rsid w:val="00787965"/>
    <w:rsid w:val="00790F1C"/>
    <w:rsid w:val="00791D19"/>
    <w:rsid w:val="007928CB"/>
    <w:rsid w:val="00792A56"/>
    <w:rsid w:val="00792FD2"/>
    <w:rsid w:val="007947B7"/>
    <w:rsid w:val="00795A60"/>
    <w:rsid w:val="00795AEC"/>
    <w:rsid w:val="00795D44"/>
    <w:rsid w:val="0079798A"/>
    <w:rsid w:val="00797C80"/>
    <w:rsid w:val="007A0EF8"/>
    <w:rsid w:val="007A173C"/>
    <w:rsid w:val="007A17EE"/>
    <w:rsid w:val="007A2C75"/>
    <w:rsid w:val="007A3203"/>
    <w:rsid w:val="007A33D2"/>
    <w:rsid w:val="007A3FAF"/>
    <w:rsid w:val="007A4584"/>
    <w:rsid w:val="007A5025"/>
    <w:rsid w:val="007A5502"/>
    <w:rsid w:val="007A66F3"/>
    <w:rsid w:val="007A6CE8"/>
    <w:rsid w:val="007A736E"/>
    <w:rsid w:val="007B0125"/>
    <w:rsid w:val="007B1093"/>
    <w:rsid w:val="007B1296"/>
    <w:rsid w:val="007B1ACF"/>
    <w:rsid w:val="007B2A2B"/>
    <w:rsid w:val="007B2F2B"/>
    <w:rsid w:val="007B32A5"/>
    <w:rsid w:val="007B3AA7"/>
    <w:rsid w:val="007B456A"/>
    <w:rsid w:val="007B479A"/>
    <w:rsid w:val="007B4A00"/>
    <w:rsid w:val="007B4DC4"/>
    <w:rsid w:val="007B51D3"/>
    <w:rsid w:val="007B681A"/>
    <w:rsid w:val="007B6EA7"/>
    <w:rsid w:val="007B74BB"/>
    <w:rsid w:val="007B7EB9"/>
    <w:rsid w:val="007C03E9"/>
    <w:rsid w:val="007C04C7"/>
    <w:rsid w:val="007C0C94"/>
    <w:rsid w:val="007C10F2"/>
    <w:rsid w:val="007C3039"/>
    <w:rsid w:val="007C3345"/>
    <w:rsid w:val="007C424E"/>
    <w:rsid w:val="007C4A30"/>
    <w:rsid w:val="007C6B07"/>
    <w:rsid w:val="007C6D70"/>
    <w:rsid w:val="007D04FE"/>
    <w:rsid w:val="007D1405"/>
    <w:rsid w:val="007D1644"/>
    <w:rsid w:val="007D2D58"/>
    <w:rsid w:val="007D350F"/>
    <w:rsid w:val="007D404D"/>
    <w:rsid w:val="007D4B47"/>
    <w:rsid w:val="007D4EDE"/>
    <w:rsid w:val="007D600B"/>
    <w:rsid w:val="007D6119"/>
    <w:rsid w:val="007D6702"/>
    <w:rsid w:val="007D7069"/>
    <w:rsid w:val="007D71AA"/>
    <w:rsid w:val="007E030B"/>
    <w:rsid w:val="007E0429"/>
    <w:rsid w:val="007E21E7"/>
    <w:rsid w:val="007E38AD"/>
    <w:rsid w:val="007E4464"/>
    <w:rsid w:val="007E4754"/>
    <w:rsid w:val="007E483F"/>
    <w:rsid w:val="007E5499"/>
    <w:rsid w:val="007E5FAF"/>
    <w:rsid w:val="007E7A59"/>
    <w:rsid w:val="007F108F"/>
    <w:rsid w:val="007F18B8"/>
    <w:rsid w:val="007F2870"/>
    <w:rsid w:val="007F2AC8"/>
    <w:rsid w:val="007F32A2"/>
    <w:rsid w:val="007F4073"/>
    <w:rsid w:val="007F4102"/>
    <w:rsid w:val="007F4332"/>
    <w:rsid w:val="007F49CD"/>
    <w:rsid w:val="007F4BA8"/>
    <w:rsid w:val="007F54DF"/>
    <w:rsid w:val="007F7FA6"/>
    <w:rsid w:val="00800664"/>
    <w:rsid w:val="00800760"/>
    <w:rsid w:val="008008A5"/>
    <w:rsid w:val="0080090C"/>
    <w:rsid w:val="00801117"/>
    <w:rsid w:val="0080229C"/>
    <w:rsid w:val="008028DF"/>
    <w:rsid w:val="00802E9F"/>
    <w:rsid w:val="00803866"/>
    <w:rsid w:val="008038E0"/>
    <w:rsid w:val="008045EC"/>
    <w:rsid w:val="00804DBD"/>
    <w:rsid w:val="00804EF3"/>
    <w:rsid w:val="0080683F"/>
    <w:rsid w:val="00807C6B"/>
    <w:rsid w:val="00811F09"/>
    <w:rsid w:val="00812061"/>
    <w:rsid w:val="0081211E"/>
    <w:rsid w:val="00813980"/>
    <w:rsid w:val="00814752"/>
    <w:rsid w:val="008149E0"/>
    <w:rsid w:val="0081535A"/>
    <w:rsid w:val="00815847"/>
    <w:rsid w:val="008158D2"/>
    <w:rsid w:val="00815962"/>
    <w:rsid w:val="00816AB2"/>
    <w:rsid w:val="00817888"/>
    <w:rsid w:val="00817CA0"/>
    <w:rsid w:val="008202BE"/>
    <w:rsid w:val="008203DC"/>
    <w:rsid w:val="0082094C"/>
    <w:rsid w:val="00822201"/>
    <w:rsid w:val="00822A8B"/>
    <w:rsid w:val="00822E85"/>
    <w:rsid w:val="00824DF9"/>
    <w:rsid w:val="008250B4"/>
    <w:rsid w:val="0082692D"/>
    <w:rsid w:val="0082724D"/>
    <w:rsid w:val="00827C3E"/>
    <w:rsid w:val="00830819"/>
    <w:rsid w:val="00830B1E"/>
    <w:rsid w:val="008319CD"/>
    <w:rsid w:val="00833774"/>
    <w:rsid w:val="008337FC"/>
    <w:rsid w:val="00833FB1"/>
    <w:rsid w:val="008341C2"/>
    <w:rsid w:val="00834C95"/>
    <w:rsid w:val="0083501F"/>
    <w:rsid w:val="00835501"/>
    <w:rsid w:val="00836DE2"/>
    <w:rsid w:val="00837F89"/>
    <w:rsid w:val="00840884"/>
    <w:rsid w:val="008426BC"/>
    <w:rsid w:val="00842B7F"/>
    <w:rsid w:val="00842EEE"/>
    <w:rsid w:val="00843182"/>
    <w:rsid w:val="00843EEB"/>
    <w:rsid w:val="00844775"/>
    <w:rsid w:val="00844A34"/>
    <w:rsid w:val="00844B23"/>
    <w:rsid w:val="00846780"/>
    <w:rsid w:val="00846945"/>
    <w:rsid w:val="00847170"/>
    <w:rsid w:val="0085021B"/>
    <w:rsid w:val="0085044D"/>
    <w:rsid w:val="00850DA3"/>
    <w:rsid w:val="008528FE"/>
    <w:rsid w:val="00853553"/>
    <w:rsid w:val="00853A86"/>
    <w:rsid w:val="00853E7F"/>
    <w:rsid w:val="00855923"/>
    <w:rsid w:val="00855F76"/>
    <w:rsid w:val="008565E9"/>
    <w:rsid w:val="0085706D"/>
    <w:rsid w:val="008605A4"/>
    <w:rsid w:val="008605B4"/>
    <w:rsid w:val="0086061B"/>
    <w:rsid w:val="008609F1"/>
    <w:rsid w:val="00861380"/>
    <w:rsid w:val="00862A31"/>
    <w:rsid w:val="00862B67"/>
    <w:rsid w:val="00863665"/>
    <w:rsid w:val="00863751"/>
    <w:rsid w:val="00864049"/>
    <w:rsid w:val="00864525"/>
    <w:rsid w:val="00864A11"/>
    <w:rsid w:val="00865E44"/>
    <w:rsid w:val="00866128"/>
    <w:rsid w:val="0086616E"/>
    <w:rsid w:val="008665FD"/>
    <w:rsid w:val="00867059"/>
    <w:rsid w:val="00870071"/>
    <w:rsid w:val="00870391"/>
    <w:rsid w:val="00870B6D"/>
    <w:rsid w:val="0087194F"/>
    <w:rsid w:val="00871C03"/>
    <w:rsid w:val="00871C82"/>
    <w:rsid w:val="00871E73"/>
    <w:rsid w:val="00872882"/>
    <w:rsid w:val="0087307D"/>
    <w:rsid w:val="00873A77"/>
    <w:rsid w:val="00873FAC"/>
    <w:rsid w:val="00875513"/>
    <w:rsid w:val="008758A0"/>
    <w:rsid w:val="008777BC"/>
    <w:rsid w:val="00877A64"/>
    <w:rsid w:val="0088009D"/>
    <w:rsid w:val="00880E06"/>
    <w:rsid w:val="00881684"/>
    <w:rsid w:val="008836F9"/>
    <w:rsid w:val="00883F78"/>
    <w:rsid w:val="0088427A"/>
    <w:rsid w:val="00884894"/>
    <w:rsid w:val="00884B19"/>
    <w:rsid w:val="0088505D"/>
    <w:rsid w:val="00885B1D"/>
    <w:rsid w:val="00886DD5"/>
    <w:rsid w:val="008904DA"/>
    <w:rsid w:val="00890BB8"/>
    <w:rsid w:val="00890DF8"/>
    <w:rsid w:val="00891B16"/>
    <w:rsid w:val="00891DEC"/>
    <w:rsid w:val="00892333"/>
    <w:rsid w:val="00892CFC"/>
    <w:rsid w:val="008941A2"/>
    <w:rsid w:val="00895E06"/>
    <w:rsid w:val="008968A6"/>
    <w:rsid w:val="00896AA8"/>
    <w:rsid w:val="00896E6C"/>
    <w:rsid w:val="00896F66"/>
    <w:rsid w:val="0089737C"/>
    <w:rsid w:val="00897486"/>
    <w:rsid w:val="00897B5F"/>
    <w:rsid w:val="00897C78"/>
    <w:rsid w:val="008A0AD9"/>
    <w:rsid w:val="008A157B"/>
    <w:rsid w:val="008A1A21"/>
    <w:rsid w:val="008A3354"/>
    <w:rsid w:val="008A3469"/>
    <w:rsid w:val="008A52E3"/>
    <w:rsid w:val="008A6D00"/>
    <w:rsid w:val="008A7313"/>
    <w:rsid w:val="008A745E"/>
    <w:rsid w:val="008B0BED"/>
    <w:rsid w:val="008B0DBA"/>
    <w:rsid w:val="008B10FE"/>
    <w:rsid w:val="008B28E9"/>
    <w:rsid w:val="008B2A36"/>
    <w:rsid w:val="008B3E43"/>
    <w:rsid w:val="008B443F"/>
    <w:rsid w:val="008B4829"/>
    <w:rsid w:val="008B4C46"/>
    <w:rsid w:val="008B5478"/>
    <w:rsid w:val="008B6E81"/>
    <w:rsid w:val="008B7368"/>
    <w:rsid w:val="008B74F2"/>
    <w:rsid w:val="008C027B"/>
    <w:rsid w:val="008C1C4B"/>
    <w:rsid w:val="008C1DDC"/>
    <w:rsid w:val="008C2C1B"/>
    <w:rsid w:val="008C405D"/>
    <w:rsid w:val="008C45C4"/>
    <w:rsid w:val="008C4733"/>
    <w:rsid w:val="008C4771"/>
    <w:rsid w:val="008C4F48"/>
    <w:rsid w:val="008C5A43"/>
    <w:rsid w:val="008C5D75"/>
    <w:rsid w:val="008C6275"/>
    <w:rsid w:val="008C738C"/>
    <w:rsid w:val="008C7CA0"/>
    <w:rsid w:val="008D121F"/>
    <w:rsid w:val="008D1245"/>
    <w:rsid w:val="008D17A9"/>
    <w:rsid w:val="008D1830"/>
    <w:rsid w:val="008D1B21"/>
    <w:rsid w:val="008D26E5"/>
    <w:rsid w:val="008D2996"/>
    <w:rsid w:val="008D2AE0"/>
    <w:rsid w:val="008D2D59"/>
    <w:rsid w:val="008D3065"/>
    <w:rsid w:val="008D3141"/>
    <w:rsid w:val="008D3AA4"/>
    <w:rsid w:val="008D4098"/>
    <w:rsid w:val="008D4927"/>
    <w:rsid w:val="008D5BEE"/>
    <w:rsid w:val="008D7027"/>
    <w:rsid w:val="008D7762"/>
    <w:rsid w:val="008E0050"/>
    <w:rsid w:val="008E0113"/>
    <w:rsid w:val="008E07E0"/>
    <w:rsid w:val="008E19A9"/>
    <w:rsid w:val="008E327D"/>
    <w:rsid w:val="008E32E1"/>
    <w:rsid w:val="008E3894"/>
    <w:rsid w:val="008E442F"/>
    <w:rsid w:val="008E4D3D"/>
    <w:rsid w:val="008E63A8"/>
    <w:rsid w:val="008E63C6"/>
    <w:rsid w:val="008E6AF6"/>
    <w:rsid w:val="008E7F23"/>
    <w:rsid w:val="008F0AF0"/>
    <w:rsid w:val="008F0CEC"/>
    <w:rsid w:val="008F0F8B"/>
    <w:rsid w:val="008F1C01"/>
    <w:rsid w:val="008F1C59"/>
    <w:rsid w:val="008F2436"/>
    <w:rsid w:val="008F2915"/>
    <w:rsid w:val="008F3846"/>
    <w:rsid w:val="008F391B"/>
    <w:rsid w:val="008F4015"/>
    <w:rsid w:val="008F5401"/>
    <w:rsid w:val="008F66A4"/>
    <w:rsid w:val="008F76A2"/>
    <w:rsid w:val="00900614"/>
    <w:rsid w:val="009007E9"/>
    <w:rsid w:val="00902FEA"/>
    <w:rsid w:val="00903B5D"/>
    <w:rsid w:val="00904452"/>
    <w:rsid w:val="00905C83"/>
    <w:rsid w:val="00906082"/>
    <w:rsid w:val="00906D7A"/>
    <w:rsid w:val="00907B4F"/>
    <w:rsid w:val="00910965"/>
    <w:rsid w:val="00911C21"/>
    <w:rsid w:val="00911C35"/>
    <w:rsid w:val="00911F82"/>
    <w:rsid w:val="0091265B"/>
    <w:rsid w:val="00913D2D"/>
    <w:rsid w:val="00914F58"/>
    <w:rsid w:val="00914F71"/>
    <w:rsid w:val="00917689"/>
    <w:rsid w:val="009212DE"/>
    <w:rsid w:val="00921422"/>
    <w:rsid w:val="0092252A"/>
    <w:rsid w:val="00922B64"/>
    <w:rsid w:val="00922C34"/>
    <w:rsid w:val="00922F4B"/>
    <w:rsid w:val="009232A9"/>
    <w:rsid w:val="009235DA"/>
    <w:rsid w:val="009239E9"/>
    <w:rsid w:val="00923CCD"/>
    <w:rsid w:val="00923D1A"/>
    <w:rsid w:val="0092624D"/>
    <w:rsid w:val="00926E59"/>
    <w:rsid w:val="00926EAF"/>
    <w:rsid w:val="00927316"/>
    <w:rsid w:val="00930EE8"/>
    <w:rsid w:val="00931857"/>
    <w:rsid w:val="00931E57"/>
    <w:rsid w:val="00933725"/>
    <w:rsid w:val="00933C06"/>
    <w:rsid w:val="00933FFC"/>
    <w:rsid w:val="0093428D"/>
    <w:rsid w:val="009343B6"/>
    <w:rsid w:val="009350B8"/>
    <w:rsid w:val="00935561"/>
    <w:rsid w:val="00935C1A"/>
    <w:rsid w:val="00936D9D"/>
    <w:rsid w:val="009370E2"/>
    <w:rsid w:val="0093713E"/>
    <w:rsid w:val="00937859"/>
    <w:rsid w:val="009379E6"/>
    <w:rsid w:val="00937A02"/>
    <w:rsid w:val="00940A92"/>
    <w:rsid w:val="00940CC0"/>
    <w:rsid w:val="00941CDB"/>
    <w:rsid w:val="00941D6D"/>
    <w:rsid w:val="009439EA"/>
    <w:rsid w:val="00944089"/>
    <w:rsid w:val="009443F9"/>
    <w:rsid w:val="00944566"/>
    <w:rsid w:val="0094457E"/>
    <w:rsid w:val="00944799"/>
    <w:rsid w:val="00944837"/>
    <w:rsid w:val="0094575F"/>
    <w:rsid w:val="00945E97"/>
    <w:rsid w:val="00946079"/>
    <w:rsid w:val="009462B9"/>
    <w:rsid w:val="00946B4D"/>
    <w:rsid w:val="00947771"/>
    <w:rsid w:val="00950DCC"/>
    <w:rsid w:val="009513F8"/>
    <w:rsid w:val="009522DB"/>
    <w:rsid w:val="009545E8"/>
    <w:rsid w:val="00954BE6"/>
    <w:rsid w:val="0095578C"/>
    <w:rsid w:val="009558B1"/>
    <w:rsid w:val="0095600A"/>
    <w:rsid w:val="00956048"/>
    <w:rsid w:val="009562DD"/>
    <w:rsid w:val="009567DE"/>
    <w:rsid w:val="009574C0"/>
    <w:rsid w:val="00960AA7"/>
    <w:rsid w:val="00961205"/>
    <w:rsid w:val="00961E3D"/>
    <w:rsid w:val="009620CF"/>
    <w:rsid w:val="009628F6"/>
    <w:rsid w:val="0096336A"/>
    <w:rsid w:val="00965CDD"/>
    <w:rsid w:val="00965F5C"/>
    <w:rsid w:val="00966E7C"/>
    <w:rsid w:val="0097077A"/>
    <w:rsid w:val="00970ABD"/>
    <w:rsid w:val="00973349"/>
    <w:rsid w:val="00975D6E"/>
    <w:rsid w:val="00975E1D"/>
    <w:rsid w:val="00977185"/>
    <w:rsid w:val="009777AA"/>
    <w:rsid w:val="00980199"/>
    <w:rsid w:val="00980996"/>
    <w:rsid w:val="00980B6F"/>
    <w:rsid w:val="0098108E"/>
    <w:rsid w:val="00981BC0"/>
    <w:rsid w:val="0098254B"/>
    <w:rsid w:val="009827F8"/>
    <w:rsid w:val="00982DBF"/>
    <w:rsid w:val="0098396B"/>
    <w:rsid w:val="009847FB"/>
    <w:rsid w:val="0098569E"/>
    <w:rsid w:val="009856E4"/>
    <w:rsid w:val="00985A08"/>
    <w:rsid w:val="00987E13"/>
    <w:rsid w:val="009900BA"/>
    <w:rsid w:val="00990A82"/>
    <w:rsid w:val="00991D85"/>
    <w:rsid w:val="00993131"/>
    <w:rsid w:val="009936D7"/>
    <w:rsid w:val="0099443C"/>
    <w:rsid w:val="00994938"/>
    <w:rsid w:val="00994952"/>
    <w:rsid w:val="009952F6"/>
    <w:rsid w:val="00995438"/>
    <w:rsid w:val="00995970"/>
    <w:rsid w:val="00995A6F"/>
    <w:rsid w:val="009969B9"/>
    <w:rsid w:val="0099794B"/>
    <w:rsid w:val="009A00DB"/>
    <w:rsid w:val="009A15E2"/>
    <w:rsid w:val="009A298F"/>
    <w:rsid w:val="009A2A50"/>
    <w:rsid w:val="009A3676"/>
    <w:rsid w:val="009A3722"/>
    <w:rsid w:val="009A4A59"/>
    <w:rsid w:val="009A4B24"/>
    <w:rsid w:val="009A51CB"/>
    <w:rsid w:val="009A6100"/>
    <w:rsid w:val="009A7E87"/>
    <w:rsid w:val="009B1245"/>
    <w:rsid w:val="009B1601"/>
    <w:rsid w:val="009B2953"/>
    <w:rsid w:val="009B4BB0"/>
    <w:rsid w:val="009B578C"/>
    <w:rsid w:val="009B6254"/>
    <w:rsid w:val="009B6C55"/>
    <w:rsid w:val="009B6CE8"/>
    <w:rsid w:val="009B7AD9"/>
    <w:rsid w:val="009B7DEF"/>
    <w:rsid w:val="009C0F87"/>
    <w:rsid w:val="009C1098"/>
    <w:rsid w:val="009C1547"/>
    <w:rsid w:val="009C2CC0"/>
    <w:rsid w:val="009C2E52"/>
    <w:rsid w:val="009C3472"/>
    <w:rsid w:val="009C6AF6"/>
    <w:rsid w:val="009C77DF"/>
    <w:rsid w:val="009D07AF"/>
    <w:rsid w:val="009D0EFF"/>
    <w:rsid w:val="009D1537"/>
    <w:rsid w:val="009D2341"/>
    <w:rsid w:val="009D27B9"/>
    <w:rsid w:val="009D2D11"/>
    <w:rsid w:val="009D2D55"/>
    <w:rsid w:val="009D31FA"/>
    <w:rsid w:val="009D39C5"/>
    <w:rsid w:val="009D3A5B"/>
    <w:rsid w:val="009D435F"/>
    <w:rsid w:val="009D49C0"/>
    <w:rsid w:val="009D50AB"/>
    <w:rsid w:val="009D5A9A"/>
    <w:rsid w:val="009D60C1"/>
    <w:rsid w:val="009D6405"/>
    <w:rsid w:val="009D7723"/>
    <w:rsid w:val="009D7AB3"/>
    <w:rsid w:val="009E06C4"/>
    <w:rsid w:val="009E0AB0"/>
    <w:rsid w:val="009E0DB9"/>
    <w:rsid w:val="009E17D0"/>
    <w:rsid w:val="009E2BE0"/>
    <w:rsid w:val="009E2FF9"/>
    <w:rsid w:val="009E3F3D"/>
    <w:rsid w:val="009E4314"/>
    <w:rsid w:val="009E56B3"/>
    <w:rsid w:val="009E61E4"/>
    <w:rsid w:val="009E660E"/>
    <w:rsid w:val="009E7650"/>
    <w:rsid w:val="009F10DE"/>
    <w:rsid w:val="009F1154"/>
    <w:rsid w:val="009F1213"/>
    <w:rsid w:val="009F15D3"/>
    <w:rsid w:val="009F2F85"/>
    <w:rsid w:val="009F314D"/>
    <w:rsid w:val="009F31F6"/>
    <w:rsid w:val="009F348A"/>
    <w:rsid w:val="009F37B9"/>
    <w:rsid w:val="009F4C35"/>
    <w:rsid w:val="009F5263"/>
    <w:rsid w:val="009F583F"/>
    <w:rsid w:val="009F6F8E"/>
    <w:rsid w:val="009F7973"/>
    <w:rsid w:val="00A00211"/>
    <w:rsid w:val="00A00F16"/>
    <w:rsid w:val="00A01B5C"/>
    <w:rsid w:val="00A0613A"/>
    <w:rsid w:val="00A06862"/>
    <w:rsid w:val="00A06CBE"/>
    <w:rsid w:val="00A100B2"/>
    <w:rsid w:val="00A1168D"/>
    <w:rsid w:val="00A13091"/>
    <w:rsid w:val="00A13416"/>
    <w:rsid w:val="00A13CAF"/>
    <w:rsid w:val="00A14373"/>
    <w:rsid w:val="00A148E7"/>
    <w:rsid w:val="00A150E0"/>
    <w:rsid w:val="00A1535F"/>
    <w:rsid w:val="00A2025E"/>
    <w:rsid w:val="00A208A9"/>
    <w:rsid w:val="00A20A9E"/>
    <w:rsid w:val="00A22310"/>
    <w:rsid w:val="00A23AED"/>
    <w:rsid w:val="00A23FDB"/>
    <w:rsid w:val="00A251A5"/>
    <w:rsid w:val="00A25DFC"/>
    <w:rsid w:val="00A262B2"/>
    <w:rsid w:val="00A270DE"/>
    <w:rsid w:val="00A27132"/>
    <w:rsid w:val="00A3105E"/>
    <w:rsid w:val="00A31851"/>
    <w:rsid w:val="00A31884"/>
    <w:rsid w:val="00A3207A"/>
    <w:rsid w:val="00A32357"/>
    <w:rsid w:val="00A3347E"/>
    <w:rsid w:val="00A34EAD"/>
    <w:rsid w:val="00A34F9B"/>
    <w:rsid w:val="00A352F4"/>
    <w:rsid w:val="00A3534C"/>
    <w:rsid w:val="00A354A6"/>
    <w:rsid w:val="00A359F8"/>
    <w:rsid w:val="00A364D7"/>
    <w:rsid w:val="00A37DEF"/>
    <w:rsid w:val="00A41586"/>
    <w:rsid w:val="00A41B5D"/>
    <w:rsid w:val="00A41EEA"/>
    <w:rsid w:val="00A42448"/>
    <w:rsid w:val="00A42457"/>
    <w:rsid w:val="00A4286E"/>
    <w:rsid w:val="00A42F56"/>
    <w:rsid w:val="00A43154"/>
    <w:rsid w:val="00A433D0"/>
    <w:rsid w:val="00A44431"/>
    <w:rsid w:val="00A44A85"/>
    <w:rsid w:val="00A466FF"/>
    <w:rsid w:val="00A469FF"/>
    <w:rsid w:val="00A46C4C"/>
    <w:rsid w:val="00A46CE2"/>
    <w:rsid w:val="00A51289"/>
    <w:rsid w:val="00A523B9"/>
    <w:rsid w:val="00A5253E"/>
    <w:rsid w:val="00A52749"/>
    <w:rsid w:val="00A52867"/>
    <w:rsid w:val="00A53220"/>
    <w:rsid w:val="00A53B0B"/>
    <w:rsid w:val="00A54FDB"/>
    <w:rsid w:val="00A55DC4"/>
    <w:rsid w:val="00A55E2E"/>
    <w:rsid w:val="00A5659F"/>
    <w:rsid w:val="00A566AC"/>
    <w:rsid w:val="00A56D41"/>
    <w:rsid w:val="00A607B9"/>
    <w:rsid w:val="00A60A2E"/>
    <w:rsid w:val="00A60F56"/>
    <w:rsid w:val="00A61027"/>
    <w:rsid w:val="00A61688"/>
    <w:rsid w:val="00A61A16"/>
    <w:rsid w:val="00A61DA2"/>
    <w:rsid w:val="00A62569"/>
    <w:rsid w:val="00A62C5A"/>
    <w:rsid w:val="00A64551"/>
    <w:rsid w:val="00A654CF"/>
    <w:rsid w:val="00A65A99"/>
    <w:rsid w:val="00A6647D"/>
    <w:rsid w:val="00A664F8"/>
    <w:rsid w:val="00A672A7"/>
    <w:rsid w:val="00A67A38"/>
    <w:rsid w:val="00A67FD2"/>
    <w:rsid w:val="00A7057D"/>
    <w:rsid w:val="00A70A5A"/>
    <w:rsid w:val="00A7100D"/>
    <w:rsid w:val="00A7173F"/>
    <w:rsid w:val="00A71E81"/>
    <w:rsid w:val="00A734CB"/>
    <w:rsid w:val="00A739EE"/>
    <w:rsid w:val="00A73F2F"/>
    <w:rsid w:val="00A75299"/>
    <w:rsid w:val="00A75FFF"/>
    <w:rsid w:val="00A7626C"/>
    <w:rsid w:val="00A76363"/>
    <w:rsid w:val="00A770C4"/>
    <w:rsid w:val="00A77391"/>
    <w:rsid w:val="00A777AB"/>
    <w:rsid w:val="00A8053E"/>
    <w:rsid w:val="00A82076"/>
    <w:rsid w:val="00A826D7"/>
    <w:rsid w:val="00A82E3F"/>
    <w:rsid w:val="00A8364B"/>
    <w:rsid w:val="00A85DF6"/>
    <w:rsid w:val="00A86324"/>
    <w:rsid w:val="00A866D3"/>
    <w:rsid w:val="00A86F9A"/>
    <w:rsid w:val="00A87384"/>
    <w:rsid w:val="00A916CF"/>
    <w:rsid w:val="00A922EB"/>
    <w:rsid w:val="00A94087"/>
    <w:rsid w:val="00A95CB9"/>
    <w:rsid w:val="00A95CD3"/>
    <w:rsid w:val="00A95E04"/>
    <w:rsid w:val="00A96206"/>
    <w:rsid w:val="00A97BC1"/>
    <w:rsid w:val="00AA0067"/>
    <w:rsid w:val="00AA0157"/>
    <w:rsid w:val="00AA01B6"/>
    <w:rsid w:val="00AA02A0"/>
    <w:rsid w:val="00AA1767"/>
    <w:rsid w:val="00AA1D5C"/>
    <w:rsid w:val="00AA2285"/>
    <w:rsid w:val="00AA22C2"/>
    <w:rsid w:val="00AA3151"/>
    <w:rsid w:val="00AA326D"/>
    <w:rsid w:val="00AA377D"/>
    <w:rsid w:val="00AA381C"/>
    <w:rsid w:val="00AA4D40"/>
    <w:rsid w:val="00AA4D4E"/>
    <w:rsid w:val="00AA5B53"/>
    <w:rsid w:val="00AA6642"/>
    <w:rsid w:val="00AA67CB"/>
    <w:rsid w:val="00AA7B3D"/>
    <w:rsid w:val="00AB072D"/>
    <w:rsid w:val="00AB1096"/>
    <w:rsid w:val="00AB14FC"/>
    <w:rsid w:val="00AB1A5D"/>
    <w:rsid w:val="00AB1B66"/>
    <w:rsid w:val="00AB40C2"/>
    <w:rsid w:val="00AB5EFC"/>
    <w:rsid w:val="00AC0356"/>
    <w:rsid w:val="00AC0B89"/>
    <w:rsid w:val="00AC105F"/>
    <w:rsid w:val="00AC21E7"/>
    <w:rsid w:val="00AC223F"/>
    <w:rsid w:val="00AC3EA8"/>
    <w:rsid w:val="00AC4026"/>
    <w:rsid w:val="00AC448E"/>
    <w:rsid w:val="00AC474E"/>
    <w:rsid w:val="00AC4977"/>
    <w:rsid w:val="00AC49E8"/>
    <w:rsid w:val="00AC542E"/>
    <w:rsid w:val="00AC5680"/>
    <w:rsid w:val="00AC6093"/>
    <w:rsid w:val="00AC6B69"/>
    <w:rsid w:val="00AC76EC"/>
    <w:rsid w:val="00AD1991"/>
    <w:rsid w:val="00AD1FC1"/>
    <w:rsid w:val="00AD21B2"/>
    <w:rsid w:val="00AD244C"/>
    <w:rsid w:val="00AD31CF"/>
    <w:rsid w:val="00AD5180"/>
    <w:rsid w:val="00AD57C0"/>
    <w:rsid w:val="00AD627D"/>
    <w:rsid w:val="00AD76B1"/>
    <w:rsid w:val="00AE0D3E"/>
    <w:rsid w:val="00AE1608"/>
    <w:rsid w:val="00AE4E62"/>
    <w:rsid w:val="00AE6364"/>
    <w:rsid w:val="00AE63F8"/>
    <w:rsid w:val="00AE6546"/>
    <w:rsid w:val="00AF0403"/>
    <w:rsid w:val="00AF0A1A"/>
    <w:rsid w:val="00AF1742"/>
    <w:rsid w:val="00AF1A5A"/>
    <w:rsid w:val="00AF24EE"/>
    <w:rsid w:val="00AF3456"/>
    <w:rsid w:val="00AF3602"/>
    <w:rsid w:val="00AF4032"/>
    <w:rsid w:val="00AF430C"/>
    <w:rsid w:val="00AF444A"/>
    <w:rsid w:val="00AF475E"/>
    <w:rsid w:val="00AF4DC3"/>
    <w:rsid w:val="00AF4EAD"/>
    <w:rsid w:val="00AF5C32"/>
    <w:rsid w:val="00AF668D"/>
    <w:rsid w:val="00AF7F2B"/>
    <w:rsid w:val="00B01123"/>
    <w:rsid w:val="00B011F6"/>
    <w:rsid w:val="00B01599"/>
    <w:rsid w:val="00B01AC7"/>
    <w:rsid w:val="00B027F4"/>
    <w:rsid w:val="00B03861"/>
    <w:rsid w:val="00B03BB9"/>
    <w:rsid w:val="00B040C8"/>
    <w:rsid w:val="00B04EED"/>
    <w:rsid w:val="00B05A9F"/>
    <w:rsid w:val="00B06863"/>
    <w:rsid w:val="00B06935"/>
    <w:rsid w:val="00B06A50"/>
    <w:rsid w:val="00B07849"/>
    <w:rsid w:val="00B1217C"/>
    <w:rsid w:val="00B122D7"/>
    <w:rsid w:val="00B130C5"/>
    <w:rsid w:val="00B13B19"/>
    <w:rsid w:val="00B14653"/>
    <w:rsid w:val="00B151EF"/>
    <w:rsid w:val="00B156B7"/>
    <w:rsid w:val="00B15E62"/>
    <w:rsid w:val="00B16B7E"/>
    <w:rsid w:val="00B22E24"/>
    <w:rsid w:val="00B23A88"/>
    <w:rsid w:val="00B24F32"/>
    <w:rsid w:val="00B256F9"/>
    <w:rsid w:val="00B27C0E"/>
    <w:rsid w:val="00B309BC"/>
    <w:rsid w:val="00B30D8B"/>
    <w:rsid w:val="00B3251D"/>
    <w:rsid w:val="00B326B6"/>
    <w:rsid w:val="00B32BC8"/>
    <w:rsid w:val="00B3390F"/>
    <w:rsid w:val="00B34170"/>
    <w:rsid w:val="00B343C9"/>
    <w:rsid w:val="00B344CF"/>
    <w:rsid w:val="00B34FB3"/>
    <w:rsid w:val="00B36557"/>
    <w:rsid w:val="00B367A8"/>
    <w:rsid w:val="00B3693A"/>
    <w:rsid w:val="00B36DE0"/>
    <w:rsid w:val="00B37071"/>
    <w:rsid w:val="00B37A31"/>
    <w:rsid w:val="00B37C44"/>
    <w:rsid w:val="00B4011A"/>
    <w:rsid w:val="00B406DE"/>
    <w:rsid w:val="00B40F3B"/>
    <w:rsid w:val="00B40FCB"/>
    <w:rsid w:val="00B42328"/>
    <w:rsid w:val="00B427E8"/>
    <w:rsid w:val="00B42C76"/>
    <w:rsid w:val="00B4371F"/>
    <w:rsid w:val="00B46EA6"/>
    <w:rsid w:val="00B47873"/>
    <w:rsid w:val="00B5013C"/>
    <w:rsid w:val="00B51C77"/>
    <w:rsid w:val="00B51E3B"/>
    <w:rsid w:val="00B52992"/>
    <w:rsid w:val="00B529EA"/>
    <w:rsid w:val="00B5411A"/>
    <w:rsid w:val="00B54C24"/>
    <w:rsid w:val="00B55353"/>
    <w:rsid w:val="00B55839"/>
    <w:rsid w:val="00B5664D"/>
    <w:rsid w:val="00B56668"/>
    <w:rsid w:val="00B5716F"/>
    <w:rsid w:val="00B57C3D"/>
    <w:rsid w:val="00B57DB6"/>
    <w:rsid w:val="00B605B4"/>
    <w:rsid w:val="00B61566"/>
    <w:rsid w:val="00B6348D"/>
    <w:rsid w:val="00B6363D"/>
    <w:rsid w:val="00B63D51"/>
    <w:rsid w:val="00B6472F"/>
    <w:rsid w:val="00B64A8E"/>
    <w:rsid w:val="00B65BE0"/>
    <w:rsid w:val="00B662D4"/>
    <w:rsid w:val="00B66C26"/>
    <w:rsid w:val="00B67617"/>
    <w:rsid w:val="00B678FE"/>
    <w:rsid w:val="00B67F8E"/>
    <w:rsid w:val="00B70B69"/>
    <w:rsid w:val="00B70F67"/>
    <w:rsid w:val="00B7129F"/>
    <w:rsid w:val="00B72591"/>
    <w:rsid w:val="00B73339"/>
    <w:rsid w:val="00B73481"/>
    <w:rsid w:val="00B73FDC"/>
    <w:rsid w:val="00B765AF"/>
    <w:rsid w:val="00B7685E"/>
    <w:rsid w:val="00B779BA"/>
    <w:rsid w:val="00B77C0A"/>
    <w:rsid w:val="00B77CB2"/>
    <w:rsid w:val="00B80039"/>
    <w:rsid w:val="00B80D39"/>
    <w:rsid w:val="00B822C4"/>
    <w:rsid w:val="00B82384"/>
    <w:rsid w:val="00B82AD4"/>
    <w:rsid w:val="00B8386E"/>
    <w:rsid w:val="00B83D9C"/>
    <w:rsid w:val="00B8531A"/>
    <w:rsid w:val="00B86E4D"/>
    <w:rsid w:val="00B86F1D"/>
    <w:rsid w:val="00B87877"/>
    <w:rsid w:val="00B8795F"/>
    <w:rsid w:val="00B879CF"/>
    <w:rsid w:val="00B920F4"/>
    <w:rsid w:val="00B924F7"/>
    <w:rsid w:val="00B92616"/>
    <w:rsid w:val="00B92703"/>
    <w:rsid w:val="00B927D1"/>
    <w:rsid w:val="00B936F6"/>
    <w:rsid w:val="00B93AFD"/>
    <w:rsid w:val="00B93BEF"/>
    <w:rsid w:val="00B93D48"/>
    <w:rsid w:val="00B94078"/>
    <w:rsid w:val="00B9447B"/>
    <w:rsid w:val="00B948EA"/>
    <w:rsid w:val="00B94F96"/>
    <w:rsid w:val="00B967E3"/>
    <w:rsid w:val="00B9788C"/>
    <w:rsid w:val="00BA0990"/>
    <w:rsid w:val="00BA14D3"/>
    <w:rsid w:val="00BA15D6"/>
    <w:rsid w:val="00BA1E52"/>
    <w:rsid w:val="00BA2658"/>
    <w:rsid w:val="00BA2E7E"/>
    <w:rsid w:val="00BA30E6"/>
    <w:rsid w:val="00BA3EBC"/>
    <w:rsid w:val="00BA4F75"/>
    <w:rsid w:val="00BA5100"/>
    <w:rsid w:val="00BA5346"/>
    <w:rsid w:val="00BA5CAA"/>
    <w:rsid w:val="00BA7347"/>
    <w:rsid w:val="00BA79B2"/>
    <w:rsid w:val="00BB0937"/>
    <w:rsid w:val="00BB0BE0"/>
    <w:rsid w:val="00BB0C1C"/>
    <w:rsid w:val="00BB155F"/>
    <w:rsid w:val="00BB1975"/>
    <w:rsid w:val="00BB1C23"/>
    <w:rsid w:val="00BB21BD"/>
    <w:rsid w:val="00BB2923"/>
    <w:rsid w:val="00BB310E"/>
    <w:rsid w:val="00BB34D2"/>
    <w:rsid w:val="00BB489B"/>
    <w:rsid w:val="00BB647E"/>
    <w:rsid w:val="00BB7469"/>
    <w:rsid w:val="00BB7511"/>
    <w:rsid w:val="00BB76E6"/>
    <w:rsid w:val="00BB7BEA"/>
    <w:rsid w:val="00BB7D72"/>
    <w:rsid w:val="00BC0824"/>
    <w:rsid w:val="00BC084D"/>
    <w:rsid w:val="00BC1932"/>
    <w:rsid w:val="00BC23C8"/>
    <w:rsid w:val="00BC2F92"/>
    <w:rsid w:val="00BC67A5"/>
    <w:rsid w:val="00BC7139"/>
    <w:rsid w:val="00BC7229"/>
    <w:rsid w:val="00BC7445"/>
    <w:rsid w:val="00BC7B4D"/>
    <w:rsid w:val="00BD09BD"/>
    <w:rsid w:val="00BD0FFE"/>
    <w:rsid w:val="00BD10B6"/>
    <w:rsid w:val="00BD1147"/>
    <w:rsid w:val="00BD15BA"/>
    <w:rsid w:val="00BD1663"/>
    <w:rsid w:val="00BD315B"/>
    <w:rsid w:val="00BD3165"/>
    <w:rsid w:val="00BD35F8"/>
    <w:rsid w:val="00BD39D6"/>
    <w:rsid w:val="00BD43FB"/>
    <w:rsid w:val="00BD4564"/>
    <w:rsid w:val="00BD4840"/>
    <w:rsid w:val="00BD54A2"/>
    <w:rsid w:val="00BD58E8"/>
    <w:rsid w:val="00BD635B"/>
    <w:rsid w:val="00BD6734"/>
    <w:rsid w:val="00BD70B6"/>
    <w:rsid w:val="00BD7127"/>
    <w:rsid w:val="00BD769F"/>
    <w:rsid w:val="00BD7C0F"/>
    <w:rsid w:val="00BE0F40"/>
    <w:rsid w:val="00BE13C6"/>
    <w:rsid w:val="00BE1516"/>
    <w:rsid w:val="00BE2134"/>
    <w:rsid w:val="00BE2236"/>
    <w:rsid w:val="00BE2B54"/>
    <w:rsid w:val="00BE4131"/>
    <w:rsid w:val="00BE459C"/>
    <w:rsid w:val="00BE54F3"/>
    <w:rsid w:val="00BE55DC"/>
    <w:rsid w:val="00BE64F3"/>
    <w:rsid w:val="00BE6577"/>
    <w:rsid w:val="00BE6BCE"/>
    <w:rsid w:val="00BE7078"/>
    <w:rsid w:val="00BF06A7"/>
    <w:rsid w:val="00BF0A44"/>
    <w:rsid w:val="00BF0B4B"/>
    <w:rsid w:val="00BF0B84"/>
    <w:rsid w:val="00BF0D75"/>
    <w:rsid w:val="00BF142B"/>
    <w:rsid w:val="00BF1E69"/>
    <w:rsid w:val="00BF27AA"/>
    <w:rsid w:val="00BF41D6"/>
    <w:rsid w:val="00BF53C2"/>
    <w:rsid w:val="00BF67AF"/>
    <w:rsid w:val="00BF787D"/>
    <w:rsid w:val="00C001B2"/>
    <w:rsid w:val="00C01466"/>
    <w:rsid w:val="00C01E14"/>
    <w:rsid w:val="00C02D6E"/>
    <w:rsid w:val="00C0338C"/>
    <w:rsid w:val="00C03607"/>
    <w:rsid w:val="00C04223"/>
    <w:rsid w:val="00C04518"/>
    <w:rsid w:val="00C05158"/>
    <w:rsid w:val="00C05F8F"/>
    <w:rsid w:val="00C07185"/>
    <w:rsid w:val="00C07672"/>
    <w:rsid w:val="00C07F8F"/>
    <w:rsid w:val="00C1030F"/>
    <w:rsid w:val="00C10D67"/>
    <w:rsid w:val="00C11384"/>
    <w:rsid w:val="00C11956"/>
    <w:rsid w:val="00C1276A"/>
    <w:rsid w:val="00C1399F"/>
    <w:rsid w:val="00C14224"/>
    <w:rsid w:val="00C147C0"/>
    <w:rsid w:val="00C158B2"/>
    <w:rsid w:val="00C15A24"/>
    <w:rsid w:val="00C164A2"/>
    <w:rsid w:val="00C16851"/>
    <w:rsid w:val="00C168FB"/>
    <w:rsid w:val="00C179E0"/>
    <w:rsid w:val="00C2041A"/>
    <w:rsid w:val="00C2063B"/>
    <w:rsid w:val="00C20A71"/>
    <w:rsid w:val="00C20CD2"/>
    <w:rsid w:val="00C21045"/>
    <w:rsid w:val="00C2184C"/>
    <w:rsid w:val="00C22FC8"/>
    <w:rsid w:val="00C248DE"/>
    <w:rsid w:val="00C24C80"/>
    <w:rsid w:val="00C2525A"/>
    <w:rsid w:val="00C25568"/>
    <w:rsid w:val="00C265BB"/>
    <w:rsid w:val="00C273AE"/>
    <w:rsid w:val="00C27A35"/>
    <w:rsid w:val="00C27CE5"/>
    <w:rsid w:val="00C27FD7"/>
    <w:rsid w:val="00C306D8"/>
    <w:rsid w:val="00C31120"/>
    <w:rsid w:val="00C31401"/>
    <w:rsid w:val="00C31B76"/>
    <w:rsid w:val="00C3265E"/>
    <w:rsid w:val="00C32D77"/>
    <w:rsid w:val="00C3312F"/>
    <w:rsid w:val="00C3327D"/>
    <w:rsid w:val="00C33F3C"/>
    <w:rsid w:val="00C3510C"/>
    <w:rsid w:val="00C355F8"/>
    <w:rsid w:val="00C35CEB"/>
    <w:rsid w:val="00C36C6E"/>
    <w:rsid w:val="00C37B1A"/>
    <w:rsid w:val="00C4037F"/>
    <w:rsid w:val="00C40AC5"/>
    <w:rsid w:val="00C40ADF"/>
    <w:rsid w:val="00C411D3"/>
    <w:rsid w:val="00C41A70"/>
    <w:rsid w:val="00C41C2C"/>
    <w:rsid w:val="00C42064"/>
    <w:rsid w:val="00C428BB"/>
    <w:rsid w:val="00C42C87"/>
    <w:rsid w:val="00C451F8"/>
    <w:rsid w:val="00C50C59"/>
    <w:rsid w:val="00C527E6"/>
    <w:rsid w:val="00C528F3"/>
    <w:rsid w:val="00C5367E"/>
    <w:rsid w:val="00C551AF"/>
    <w:rsid w:val="00C56578"/>
    <w:rsid w:val="00C577F0"/>
    <w:rsid w:val="00C60DAB"/>
    <w:rsid w:val="00C614F5"/>
    <w:rsid w:val="00C61D33"/>
    <w:rsid w:val="00C623BF"/>
    <w:rsid w:val="00C63233"/>
    <w:rsid w:val="00C646FA"/>
    <w:rsid w:val="00C64A37"/>
    <w:rsid w:val="00C64D93"/>
    <w:rsid w:val="00C65876"/>
    <w:rsid w:val="00C660F1"/>
    <w:rsid w:val="00C70223"/>
    <w:rsid w:val="00C72CCA"/>
    <w:rsid w:val="00C740FF"/>
    <w:rsid w:val="00C74F64"/>
    <w:rsid w:val="00C7556B"/>
    <w:rsid w:val="00C75B20"/>
    <w:rsid w:val="00C76563"/>
    <w:rsid w:val="00C7673C"/>
    <w:rsid w:val="00C77212"/>
    <w:rsid w:val="00C7753F"/>
    <w:rsid w:val="00C80D11"/>
    <w:rsid w:val="00C811E9"/>
    <w:rsid w:val="00C82960"/>
    <w:rsid w:val="00C8455A"/>
    <w:rsid w:val="00C86CB9"/>
    <w:rsid w:val="00C87CD8"/>
    <w:rsid w:val="00C91140"/>
    <w:rsid w:val="00C91462"/>
    <w:rsid w:val="00C91B9A"/>
    <w:rsid w:val="00C927FA"/>
    <w:rsid w:val="00C93E65"/>
    <w:rsid w:val="00C96433"/>
    <w:rsid w:val="00C97487"/>
    <w:rsid w:val="00CA05B8"/>
    <w:rsid w:val="00CA05E3"/>
    <w:rsid w:val="00CA1696"/>
    <w:rsid w:val="00CA36B2"/>
    <w:rsid w:val="00CA3BA8"/>
    <w:rsid w:val="00CA40D5"/>
    <w:rsid w:val="00CA430C"/>
    <w:rsid w:val="00CA43C1"/>
    <w:rsid w:val="00CA51D9"/>
    <w:rsid w:val="00CA5F4F"/>
    <w:rsid w:val="00CA612E"/>
    <w:rsid w:val="00CA6C48"/>
    <w:rsid w:val="00CA7955"/>
    <w:rsid w:val="00CB1026"/>
    <w:rsid w:val="00CB1308"/>
    <w:rsid w:val="00CB1417"/>
    <w:rsid w:val="00CB1A70"/>
    <w:rsid w:val="00CB2082"/>
    <w:rsid w:val="00CB24F7"/>
    <w:rsid w:val="00CB2B92"/>
    <w:rsid w:val="00CB2FFD"/>
    <w:rsid w:val="00CB415C"/>
    <w:rsid w:val="00CB4424"/>
    <w:rsid w:val="00CB4736"/>
    <w:rsid w:val="00CB5662"/>
    <w:rsid w:val="00CB57E7"/>
    <w:rsid w:val="00CB6130"/>
    <w:rsid w:val="00CB66F1"/>
    <w:rsid w:val="00CB69DC"/>
    <w:rsid w:val="00CB6C70"/>
    <w:rsid w:val="00CB7465"/>
    <w:rsid w:val="00CC0887"/>
    <w:rsid w:val="00CC0FEC"/>
    <w:rsid w:val="00CC1B0F"/>
    <w:rsid w:val="00CC245D"/>
    <w:rsid w:val="00CC2A20"/>
    <w:rsid w:val="00CC3EE6"/>
    <w:rsid w:val="00CC43B4"/>
    <w:rsid w:val="00CC4561"/>
    <w:rsid w:val="00CC4887"/>
    <w:rsid w:val="00CC55E1"/>
    <w:rsid w:val="00CC5789"/>
    <w:rsid w:val="00CC5CB9"/>
    <w:rsid w:val="00CC5F17"/>
    <w:rsid w:val="00CC6145"/>
    <w:rsid w:val="00CC7822"/>
    <w:rsid w:val="00CC78A1"/>
    <w:rsid w:val="00CD0187"/>
    <w:rsid w:val="00CD11B4"/>
    <w:rsid w:val="00CD1374"/>
    <w:rsid w:val="00CD1B9D"/>
    <w:rsid w:val="00CD1EE9"/>
    <w:rsid w:val="00CD2276"/>
    <w:rsid w:val="00CD34A7"/>
    <w:rsid w:val="00CD3FE0"/>
    <w:rsid w:val="00CD41CE"/>
    <w:rsid w:val="00CD48D7"/>
    <w:rsid w:val="00CD64E2"/>
    <w:rsid w:val="00CD6930"/>
    <w:rsid w:val="00CD6BDE"/>
    <w:rsid w:val="00CD7010"/>
    <w:rsid w:val="00CD7530"/>
    <w:rsid w:val="00CD7AB3"/>
    <w:rsid w:val="00CE0734"/>
    <w:rsid w:val="00CE1786"/>
    <w:rsid w:val="00CE1DBE"/>
    <w:rsid w:val="00CE1E41"/>
    <w:rsid w:val="00CE2253"/>
    <w:rsid w:val="00CE2A7E"/>
    <w:rsid w:val="00CE2B78"/>
    <w:rsid w:val="00CE2D42"/>
    <w:rsid w:val="00CE3904"/>
    <w:rsid w:val="00CE59B6"/>
    <w:rsid w:val="00CE6460"/>
    <w:rsid w:val="00CE6558"/>
    <w:rsid w:val="00CE6F18"/>
    <w:rsid w:val="00CE6FAC"/>
    <w:rsid w:val="00CE777D"/>
    <w:rsid w:val="00CF1886"/>
    <w:rsid w:val="00CF1BAC"/>
    <w:rsid w:val="00CF27F8"/>
    <w:rsid w:val="00CF3313"/>
    <w:rsid w:val="00CF3E60"/>
    <w:rsid w:val="00CF3EA7"/>
    <w:rsid w:val="00CF60B8"/>
    <w:rsid w:val="00CF6649"/>
    <w:rsid w:val="00CF705A"/>
    <w:rsid w:val="00CF7BE7"/>
    <w:rsid w:val="00D0148D"/>
    <w:rsid w:val="00D01BFE"/>
    <w:rsid w:val="00D02131"/>
    <w:rsid w:val="00D02366"/>
    <w:rsid w:val="00D0321E"/>
    <w:rsid w:val="00D065B6"/>
    <w:rsid w:val="00D07CFA"/>
    <w:rsid w:val="00D07E2A"/>
    <w:rsid w:val="00D1025A"/>
    <w:rsid w:val="00D11F8B"/>
    <w:rsid w:val="00D139C4"/>
    <w:rsid w:val="00D1463E"/>
    <w:rsid w:val="00D1538D"/>
    <w:rsid w:val="00D16166"/>
    <w:rsid w:val="00D161A9"/>
    <w:rsid w:val="00D165C2"/>
    <w:rsid w:val="00D16954"/>
    <w:rsid w:val="00D16B20"/>
    <w:rsid w:val="00D179D2"/>
    <w:rsid w:val="00D17AB1"/>
    <w:rsid w:val="00D20020"/>
    <w:rsid w:val="00D21311"/>
    <w:rsid w:val="00D21D68"/>
    <w:rsid w:val="00D236B5"/>
    <w:rsid w:val="00D24599"/>
    <w:rsid w:val="00D249E6"/>
    <w:rsid w:val="00D24F43"/>
    <w:rsid w:val="00D24F84"/>
    <w:rsid w:val="00D25848"/>
    <w:rsid w:val="00D258CC"/>
    <w:rsid w:val="00D25CF0"/>
    <w:rsid w:val="00D26054"/>
    <w:rsid w:val="00D2627C"/>
    <w:rsid w:val="00D2665A"/>
    <w:rsid w:val="00D27588"/>
    <w:rsid w:val="00D278C3"/>
    <w:rsid w:val="00D27A08"/>
    <w:rsid w:val="00D27E5A"/>
    <w:rsid w:val="00D3219B"/>
    <w:rsid w:val="00D32BDF"/>
    <w:rsid w:val="00D32D43"/>
    <w:rsid w:val="00D356FE"/>
    <w:rsid w:val="00D35CE4"/>
    <w:rsid w:val="00D37067"/>
    <w:rsid w:val="00D371A1"/>
    <w:rsid w:val="00D373BB"/>
    <w:rsid w:val="00D37D38"/>
    <w:rsid w:val="00D37D92"/>
    <w:rsid w:val="00D41EAB"/>
    <w:rsid w:val="00D432B2"/>
    <w:rsid w:val="00D4351D"/>
    <w:rsid w:val="00D43596"/>
    <w:rsid w:val="00D43AC6"/>
    <w:rsid w:val="00D43B3F"/>
    <w:rsid w:val="00D4419D"/>
    <w:rsid w:val="00D4598F"/>
    <w:rsid w:val="00D46D06"/>
    <w:rsid w:val="00D50343"/>
    <w:rsid w:val="00D508A2"/>
    <w:rsid w:val="00D50F21"/>
    <w:rsid w:val="00D53783"/>
    <w:rsid w:val="00D547AC"/>
    <w:rsid w:val="00D5491B"/>
    <w:rsid w:val="00D556BA"/>
    <w:rsid w:val="00D60B72"/>
    <w:rsid w:val="00D61573"/>
    <w:rsid w:val="00D63C21"/>
    <w:rsid w:val="00D6421F"/>
    <w:rsid w:val="00D6467C"/>
    <w:rsid w:val="00D65BB2"/>
    <w:rsid w:val="00D65FB3"/>
    <w:rsid w:val="00D6705D"/>
    <w:rsid w:val="00D707F6"/>
    <w:rsid w:val="00D71F46"/>
    <w:rsid w:val="00D71F88"/>
    <w:rsid w:val="00D72455"/>
    <w:rsid w:val="00D72A29"/>
    <w:rsid w:val="00D72B29"/>
    <w:rsid w:val="00D7324B"/>
    <w:rsid w:val="00D74394"/>
    <w:rsid w:val="00D749F4"/>
    <w:rsid w:val="00D76FD6"/>
    <w:rsid w:val="00D77003"/>
    <w:rsid w:val="00D77141"/>
    <w:rsid w:val="00D80100"/>
    <w:rsid w:val="00D81613"/>
    <w:rsid w:val="00D81B22"/>
    <w:rsid w:val="00D81CB6"/>
    <w:rsid w:val="00D81D73"/>
    <w:rsid w:val="00D82287"/>
    <w:rsid w:val="00D823BC"/>
    <w:rsid w:val="00D8271B"/>
    <w:rsid w:val="00D83197"/>
    <w:rsid w:val="00D831C5"/>
    <w:rsid w:val="00D848EC"/>
    <w:rsid w:val="00D84D23"/>
    <w:rsid w:val="00D8520E"/>
    <w:rsid w:val="00D87E14"/>
    <w:rsid w:val="00D87FC2"/>
    <w:rsid w:val="00D904D2"/>
    <w:rsid w:val="00D90A88"/>
    <w:rsid w:val="00D92177"/>
    <w:rsid w:val="00D92FDC"/>
    <w:rsid w:val="00D9447B"/>
    <w:rsid w:val="00D9510C"/>
    <w:rsid w:val="00D9513E"/>
    <w:rsid w:val="00D97D3E"/>
    <w:rsid w:val="00DA0590"/>
    <w:rsid w:val="00DA06D3"/>
    <w:rsid w:val="00DA071C"/>
    <w:rsid w:val="00DA20B8"/>
    <w:rsid w:val="00DA32D5"/>
    <w:rsid w:val="00DA4212"/>
    <w:rsid w:val="00DA50CF"/>
    <w:rsid w:val="00DA544F"/>
    <w:rsid w:val="00DA5B0F"/>
    <w:rsid w:val="00DA5F35"/>
    <w:rsid w:val="00DA61B6"/>
    <w:rsid w:val="00DA682B"/>
    <w:rsid w:val="00DB023A"/>
    <w:rsid w:val="00DB0ED1"/>
    <w:rsid w:val="00DB1E0F"/>
    <w:rsid w:val="00DB2188"/>
    <w:rsid w:val="00DB363A"/>
    <w:rsid w:val="00DB426C"/>
    <w:rsid w:val="00DB44A1"/>
    <w:rsid w:val="00DB5138"/>
    <w:rsid w:val="00DC1F15"/>
    <w:rsid w:val="00DC3080"/>
    <w:rsid w:val="00DC3428"/>
    <w:rsid w:val="00DC3B35"/>
    <w:rsid w:val="00DC51AE"/>
    <w:rsid w:val="00DC56FA"/>
    <w:rsid w:val="00DC61C3"/>
    <w:rsid w:val="00DC6391"/>
    <w:rsid w:val="00DC6A05"/>
    <w:rsid w:val="00DC6AE5"/>
    <w:rsid w:val="00DC6AF7"/>
    <w:rsid w:val="00DC6E88"/>
    <w:rsid w:val="00DC72F8"/>
    <w:rsid w:val="00DC7762"/>
    <w:rsid w:val="00DC7B3D"/>
    <w:rsid w:val="00DC7B68"/>
    <w:rsid w:val="00DC7EDA"/>
    <w:rsid w:val="00DD030D"/>
    <w:rsid w:val="00DD18FB"/>
    <w:rsid w:val="00DD19B8"/>
    <w:rsid w:val="00DD2AAE"/>
    <w:rsid w:val="00DD2C61"/>
    <w:rsid w:val="00DD35C8"/>
    <w:rsid w:val="00DD36E4"/>
    <w:rsid w:val="00DD3933"/>
    <w:rsid w:val="00DD3A9B"/>
    <w:rsid w:val="00DD475F"/>
    <w:rsid w:val="00DD4CCD"/>
    <w:rsid w:val="00DD5A86"/>
    <w:rsid w:val="00DD64BF"/>
    <w:rsid w:val="00DD6CA2"/>
    <w:rsid w:val="00DD7C4E"/>
    <w:rsid w:val="00DD7DB6"/>
    <w:rsid w:val="00DE0951"/>
    <w:rsid w:val="00DE11C7"/>
    <w:rsid w:val="00DE1FCC"/>
    <w:rsid w:val="00DE23FD"/>
    <w:rsid w:val="00DE2BA5"/>
    <w:rsid w:val="00DE2F41"/>
    <w:rsid w:val="00DE70F7"/>
    <w:rsid w:val="00DF031D"/>
    <w:rsid w:val="00DF2667"/>
    <w:rsid w:val="00DF34A4"/>
    <w:rsid w:val="00DF43B6"/>
    <w:rsid w:val="00DF537C"/>
    <w:rsid w:val="00DF6119"/>
    <w:rsid w:val="00DF741B"/>
    <w:rsid w:val="00E02060"/>
    <w:rsid w:val="00E021FA"/>
    <w:rsid w:val="00E02AE6"/>
    <w:rsid w:val="00E030E5"/>
    <w:rsid w:val="00E032D0"/>
    <w:rsid w:val="00E03625"/>
    <w:rsid w:val="00E04596"/>
    <w:rsid w:val="00E04C0F"/>
    <w:rsid w:val="00E056FE"/>
    <w:rsid w:val="00E05876"/>
    <w:rsid w:val="00E05CC0"/>
    <w:rsid w:val="00E0600B"/>
    <w:rsid w:val="00E06E2E"/>
    <w:rsid w:val="00E0779F"/>
    <w:rsid w:val="00E104AF"/>
    <w:rsid w:val="00E10830"/>
    <w:rsid w:val="00E10FEB"/>
    <w:rsid w:val="00E121BF"/>
    <w:rsid w:val="00E13333"/>
    <w:rsid w:val="00E1337E"/>
    <w:rsid w:val="00E13502"/>
    <w:rsid w:val="00E14528"/>
    <w:rsid w:val="00E165D8"/>
    <w:rsid w:val="00E166A2"/>
    <w:rsid w:val="00E17C75"/>
    <w:rsid w:val="00E17D48"/>
    <w:rsid w:val="00E20223"/>
    <w:rsid w:val="00E204A3"/>
    <w:rsid w:val="00E207AC"/>
    <w:rsid w:val="00E20A15"/>
    <w:rsid w:val="00E212CA"/>
    <w:rsid w:val="00E217E4"/>
    <w:rsid w:val="00E22046"/>
    <w:rsid w:val="00E226A7"/>
    <w:rsid w:val="00E22C93"/>
    <w:rsid w:val="00E22CA9"/>
    <w:rsid w:val="00E22E76"/>
    <w:rsid w:val="00E23479"/>
    <w:rsid w:val="00E249CA"/>
    <w:rsid w:val="00E261E8"/>
    <w:rsid w:val="00E26710"/>
    <w:rsid w:val="00E27239"/>
    <w:rsid w:val="00E27313"/>
    <w:rsid w:val="00E2798B"/>
    <w:rsid w:val="00E30B5D"/>
    <w:rsid w:val="00E315B1"/>
    <w:rsid w:val="00E31E43"/>
    <w:rsid w:val="00E35EBF"/>
    <w:rsid w:val="00E3680F"/>
    <w:rsid w:val="00E4013D"/>
    <w:rsid w:val="00E407A2"/>
    <w:rsid w:val="00E41930"/>
    <w:rsid w:val="00E41A75"/>
    <w:rsid w:val="00E42406"/>
    <w:rsid w:val="00E4297A"/>
    <w:rsid w:val="00E42A97"/>
    <w:rsid w:val="00E43048"/>
    <w:rsid w:val="00E43080"/>
    <w:rsid w:val="00E4311B"/>
    <w:rsid w:val="00E43B21"/>
    <w:rsid w:val="00E43BC1"/>
    <w:rsid w:val="00E43E60"/>
    <w:rsid w:val="00E44662"/>
    <w:rsid w:val="00E4493B"/>
    <w:rsid w:val="00E44AB7"/>
    <w:rsid w:val="00E45722"/>
    <w:rsid w:val="00E464D0"/>
    <w:rsid w:val="00E46516"/>
    <w:rsid w:val="00E476C0"/>
    <w:rsid w:val="00E47A30"/>
    <w:rsid w:val="00E51703"/>
    <w:rsid w:val="00E52437"/>
    <w:rsid w:val="00E53001"/>
    <w:rsid w:val="00E54576"/>
    <w:rsid w:val="00E54C82"/>
    <w:rsid w:val="00E54FEE"/>
    <w:rsid w:val="00E5553C"/>
    <w:rsid w:val="00E5596B"/>
    <w:rsid w:val="00E56199"/>
    <w:rsid w:val="00E56556"/>
    <w:rsid w:val="00E56D25"/>
    <w:rsid w:val="00E5770E"/>
    <w:rsid w:val="00E57E34"/>
    <w:rsid w:val="00E57EAD"/>
    <w:rsid w:val="00E57F2D"/>
    <w:rsid w:val="00E633F4"/>
    <w:rsid w:val="00E641DE"/>
    <w:rsid w:val="00E6427E"/>
    <w:rsid w:val="00E6493F"/>
    <w:rsid w:val="00E64CAD"/>
    <w:rsid w:val="00E656EA"/>
    <w:rsid w:val="00E66587"/>
    <w:rsid w:val="00E666B2"/>
    <w:rsid w:val="00E66B32"/>
    <w:rsid w:val="00E66FF2"/>
    <w:rsid w:val="00E70866"/>
    <w:rsid w:val="00E72080"/>
    <w:rsid w:val="00E72584"/>
    <w:rsid w:val="00E725BC"/>
    <w:rsid w:val="00E72D65"/>
    <w:rsid w:val="00E72F1F"/>
    <w:rsid w:val="00E73698"/>
    <w:rsid w:val="00E74798"/>
    <w:rsid w:val="00E75D0B"/>
    <w:rsid w:val="00E7640F"/>
    <w:rsid w:val="00E8014D"/>
    <w:rsid w:val="00E80956"/>
    <w:rsid w:val="00E80996"/>
    <w:rsid w:val="00E81DBA"/>
    <w:rsid w:val="00E83F75"/>
    <w:rsid w:val="00E84359"/>
    <w:rsid w:val="00E85131"/>
    <w:rsid w:val="00E851CD"/>
    <w:rsid w:val="00E85C5B"/>
    <w:rsid w:val="00E86103"/>
    <w:rsid w:val="00E86C84"/>
    <w:rsid w:val="00E90197"/>
    <w:rsid w:val="00E90631"/>
    <w:rsid w:val="00E90E13"/>
    <w:rsid w:val="00E91708"/>
    <w:rsid w:val="00E9212F"/>
    <w:rsid w:val="00E92139"/>
    <w:rsid w:val="00E9262C"/>
    <w:rsid w:val="00E93B43"/>
    <w:rsid w:val="00E93C0B"/>
    <w:rsid w:val="00E93D12"/>
    <w:rsid w:val="00E946E8"/>
    <w:rsid w:val="00E94E87"/>
    <w:rsid w:val="00E95B36"/>
    <w:rsid w:val="00E975ED"/>
    <w:rsid w:val="00E97B45"/>
    <w:rsid w:val="00E97D37"/>
    <w:rsid w:val="00EA0C9C"/>
    <w:rsid w:val="00EA16CE"/>
    <w:rsid w:val="00EA1CB5"/>
    <w:rsid w:val="00EA2910"/>
    <w:rsid w:val="00EA2C6B"/>
    <w:rsid w:val="00EA2F2F"/>
    <w:rsid w:val="00EA3979"/>
    <w:rsid w:val="00EA3AF6"/>
    <w:rsid w:val="00EA4045"/>
    <w:rsid w:val="00EA4BE9"/>
    <w:rsid w:val="00EA4EB0"/>
    <w:rsid w:val="00EA54AD"/>
    <w:rsid w:val="00EA55E3"/>
    <w:rsid w:val="00EA5DDE"/>
    <w:rsid w:val="00EA6843"/>
    <w:rsid w:val="00EA6E04"/>
    <w:rsid w:val="00EA7CA2"/>
    <w:rsid w:val="00EB1B3B"/>
    <w:rsid w:val="00EB2040"/>
    <w:rsid w:val="00EB2AF0"/>
    <w:rsid w:val="00EB35AF"/>
    <w:rsid w:val="00EB37EB"/>
    <w:rsid w:val="00EB3A04"/>
    <w:rsid w:val="00EB436F"/>
    <w:rsid w:val="00EB4727"/>
    <w:rsid w:val="00EB5C6E"/>
    <w:rsid w:val="00EB631D"/>
    <w:rsid w:val="00EB6325"/>
    <w:rsid w:val="00EB69F3"/>
    <w:rsid w:val="00EB6E62"/>
    <w:rsid w:val="00EB6E7D"/>
    <w:rsid w:val="00EB7361"/>
    <w:rsid w:val="00EB73DF"/>
    <w:rsid w:val="00EB746B"/>
    <w:rsid w:val="00EB7AB6"/>
    <w:rsid w:val="00EC0671"/>
    <w:rsid w:val="00EC09D9"/>
    <w:rsid w:val="00EC1FEE"/>
    <w:rsid w:val="00EC200A"/>
    <w:rsid w:val="00EC2AA6"/>
    <w:rsid w:val="00EC398E"/>
    <w:rsid w:val="00EC3DC6"/>
    <w:rsid w:val="00EC3E6F"/>
    <w:rsid w:val="00EC476C"/>
    <w:rsid w:val="00EC62F0"/>
    <w:rsid w:val="00EC66AA"/>
    <w:rsid w:val="00EC724E"/>
    <w:rsid w:val="00EC7660"/>
    <w:rsid w:val="00EC7B41"/>
    <w:rsid w:val="00EC7D38"/>
    <w:rsid w:val="00EC7F98"/>
    <w:rsid w:val="00ED0DB8"/>
    <w:rsid w:val="00ED2064"/>
    <w:rsid w:val="00ED2670"/>
    <w:rsid w:val="00ED348C"/>
    <w:rsid w:val="00ED3C5D"/>
    <w:rsid w:val="00ED3E21"/>
    <w:rsid w:val="00ED4E4B"/>
    <w:rsid w:val="00ED5221"/>
    <w:rsid w:val="00ED53A8"/>
    <w:rsid w:val="00ED53B2"/>
    <w:rsid w:val="00ED6F50"/>
    <w:rsid w:val="00ED74C7"/>
    <w:rsid w:val="00ED7703"/>
    <w:rsid w:val="00ED787D"/>
    <w:rsid w:val="00EE0134"/>
    <w:rsid w:val="00EE0D10"/>
    <w:rsid w:val="00EE0E5E"/>
    <w:rsid w:val="00EE145D"/>
    <w:rsid w:val="00EE178E"/>
    <w:rsid w:val="00EE1FE3"/>
    <w:rsid w:val="00EE20A0"/>
    <w:rsid w:val="00EE6458"/>
    <w:rsid w:val="00EE65ED"/>
    <w:rsid w:val="00EE6BE4"/>
    <w:rsid w:val="00EF03A0"/>
    <w:rsid w:val="00EF0768"/>
    <w:rsid w:val="00EF078C"/>
    <w:rsid w:val="00EF07C3"/>
    <w:rsid w:val="00EF0F7E"/>
    <w:rsid w:val="00EF1518"/>
    <w:rsid w:val="00EF1DDA"/>
    <w:rsid w:val="00EF20BC"/>
    <w:rsid w:val="00EF2467"/>
    <w:rsid w:val="00EF2A3E"/>
    <w:rsid w:val="00EF4113"/>
    <w:rsid w:val="00EF444B"/>
    <w:rsid w:val="00EF569D"/>
    <w:rsid w:val="00EF5ACE"/>
    <w:rsid w:val="00EF5C38"/>
    <w:rsid w:val="00EF61C4"/>
    <w:rsid w:val="00EF62BB"/>
    <w:rsid w:val="00EF64F3"/>
    <w:rsid w:val="00EF6AC8"/>
    <w:rsid w:val="00EF78C0"/>
    <w:rsid w:val="00EF7DE6"/>
    <w:rsid w:val="00F000BA"/>
    <w:rsid w:val="00F0170F"/>
    <w:rsid w:val="00F01963"/>
    <w:rsid w:val="00F022BA"/>
    <w:rsid w:val="00F03C90"/>
    <w:rsid w:val="00F06B67"/>
    <w:rsid w:val="00F06B6C"/>
    <w:rsid w:val="00F06D77"/>
    <w:rsid w:val="00F07CD0"/>
    <w:rsid w:val="00F10FAE"/>
    <w:rsid w:val="00F11E33"/>
    <w:rsid w:val="00F13268"/>
    <w:rsid w:val="00F13332"/>
    <w:rsid w:val="00F14D72"/>
    <w:rsid w:val="00F150B0"/>
    <w:rsid w:val="00F15A1F"/>
    <w:rsid w:val="00F15D5E"/>
    <w:rsid w:val="00F1752C"/>
    <w:rsid w:val="00F1762E"/>
    <w:rsid w:val="00F1772E"/>
    <w:rsid w:val="00F17D31"/>
    <w:rsid w:val="00F203F0"/>
    <w:rsid w:val="00F20AAB"/>
    <w:rsid w:val="00F22F2C"/>
    <w:rsid w:val="00F236CE"/>
    <w:rsid w:val="00F240A9"/>
    <w:rsid w:val="00F24889"/>
    <w:rsid w:val="00F24D0A"/>
    <w:rsid w:val="00F24E1B"/>
    <w:rsid w:val="00F25403"/>
    <w:rsid w:val="00F25672"/>
    <w:rsid w:val="00F26CC7"/>
    <w:rsid w:val="00F27608"/>
    <w:rsid w:val="00F27DB2"/>
    <w:rsid w:val="00F27F9D"/>
    <w:rsid w:val="00F3114B"/>
    <w:rsid w:val="00F31B20"/>
    <w:rsid w:val="00F3251D"/>
    <w:rsid w:val="00F3287B"/>
    <w:rsid w:val="00F34F6A"/>
    <w:rsid w:val="00F351B0"/>
    <w:rsid w:val="00F35E2B"/>
    <w:rsid w:val="00F36A2C"/>
    <w:rsid w:val="00F36B47"/>
    <w:rsid w:val="00F36B86"/>
    <w:rsid w:val="00F37620"/>
    <w:rsid w:val="00F37971"/>
    <w:rsid w:val="00F4013A"/>
    <w:rsid w:val="00F4080B"/>
    <w:rsid w:val="00F40B08"/>
    <w:rsid w:val="00F40C99"/>
    <w:rsid w:val="00F42D78"/>
    <w:rsid w:val="00F43540"/>
    <w:rsid w:val="00F44183"/>
    <w:rsid w:val="00F4477F"/>
    <w:rsid w:val="00F47FAE"/>
    <w:rsid w:val="00F505C7"/>
    <w:rsid w:val="00F50D58"/>
    <w:rsid w:val="00F50F7B"/>
    <w:rsid w:val="00F50FD1"/>
    <w:rsid w:val="00F51447"/>
    <w:rsid w:val="00F5173C"/>
    <w:rsid w:val="00F51815"/>
    <w:rsid w:val="00F51A08"/>
    <w:rsid w:val="00F5212F"/>
    <w:rsid w:val="00F52775"/>
    <w:rsid w:val="00F52C42"/>
    <w:rsid w:val="00F53400"/>
    <w:rsid w:val="00F54A75"/>
    <w:rsid w:val="00F56DD8"/>
    <w:rsid w:val="00F57101"/>
    <w:rsid w:val="00F5747C"/>
    <w:rsid w:val="00F577B1"/>
    <w:rsid w:val="00F57D6D"/>
    <w:rsid w:val="00F61778"/>
    <w:rsid w:val="00F61A1D"/>
    <w:rsid w:val="00F62C94"/>
    <w:rsid w:val="00F63435"/>
    <w:rsid w:val="00F634E6"/>
    <w:rsid w:val="00F6629F"/>
    <w:rsid w:val="00F70234"/>
    <w:rsid w:val="00F70EEB"/>
    <w:rsid w:val="00F71754"/>
    <w:rsid w:val="00F71EA7"/>
    <w:rsid w:val="00F72297"/>
    <w:rsid w:val="00F72AB9"/>
    <w:rsid w:val="00F7383F"/>
    <w:rsid w:val="00F7444A"/>
    <w:rsid w:val="00F75367"/>
    <w:rsid w:val="00F75A43"/>
    <w:rsid w:val="00F7689E"/>
    <w:rsid w:val="00F76E65"/>
    <w:rsid w:val="00F77CAC"/>
    <w:rsid w:val="00F805F8"/>
    <w:rsid w:val="00F80B78"/>
    <w:rsid w:val="00F80C2A"/>
    <w:rsid w:val="00F81F86"/>
    <w:rsid w:val="00F823D2"/>
    <w:rsid w:val="00F844B8"/>
    <w:rsid w:val="00F854DB"/>
    <w:rsid w:val="00F8552A"/>
    <w:rsid w:val="00F909A5"/>
    <w:rsid w:val="00F91439"/>
    <w:rsid w:val="00F91EE5"/>
    <w:rsid w:val="00F92319"/>
    <w:rsid w:val="00F92685"/>
    <w:rsid w:val="00F935C2"/>
    <w:rsid w:val="00F937D1"/>
    <w:rsid w:val="00F94BC2"/>
    <w:rsid w:val="00F95107"/>
    <w:rsid w:val="00F95128"/>
    <w:rsid w:val="00F9555C"/>
    <w:rsid w:val="00F955CB"/>
    <w:rsid w:val="00F9684D"/>
    <w:rsid w:val="00F96E1E"/>
    <w:rsid w:val="00F9741B"/>
    <w:rsid w:val="00F97B17"/>
    <w:rsid w:val="00FA0A4C"/>
    <w:rsid w:val="00FA1737"/>
    <w:rsid w:val="00FA23DF"/>
    <w:rsid w:val="00FA274B"/>
    <w:rsid w:val="00FA35FD"/>
    <w:rsid w:val="00FA3AC5"/>
    <w:rsid w:val="00FA4FDF"/>
    <w:rsid w:val="00FA532C"/>
    <w:rsid w:val="00FA630E"/>
    <w:rsid w:val="00FA6542"/>
    <w:rsid w:val="00FA6E85"/>
    <w:rsid w:val="00FA771F"/>
    <w:rsid w:val="00FA7841"/>
    <w:rsid w:val="00FA7945"/>
    <w:rsid w:val="00FB1287"/>
    <w:rsid w:val="00FB1610"/>
    <w:rsid w:val="00FB17FB"/>
    <w:rsid w:val="00FB20BF"/>
    <w:rsid w:val="00FB2DE2"/>
    <w:rsid w:val="00FB32D1"/>
    <w:rsid w:val="00FB35C5"/>
    <w:rsid w:val="00FB38D8"/>
    <w:rsid w:val="00FB3E37"/>
    <w:rsid w:val="00FB4238"/>
    <w:rsid w:val="00FB498B"/>
    <w:rsid w:val="00FB4BFF"/>
    <w:rsid w:val="00FB50A8"/>
    <w:rsid w:val="00FB5939"/>
    <w:rsid w:val="00FB5B68"/>
    <w:rsid w:val="00FB66C1"/>
    <w:rsid w:val="00FB678A"/>
    <w:rsid w:val="00FB7362"/>
    <w:rsid w:val="00FB7592"/>
    <w:rsid w:val="00FB7961"/>
    <w:rsid w:val="00FB7AB4"/>
    <w:rsid w:val="00FC078B"/>
    <w:rsid w:val="00FC0C11"/>
    <w:rsid w:val="00FC128E"/>
    <w:rsid w:val="00FC2A99"/>
    <w:rsid w:val="00FC32CD"/>
    <w:rsid w:val="00FC3918"/>
    <w:rsid w:val="00FC4642"/>
    <w:rsid w:val="00FC5282"/>
    <w:rsid w:val="00FC5A5A"/>
    <w:rsid w:val="00FC64A0"/>
    <w:rsid w:val="00FC66E8"/>
    <w:rsid w:val="00FC6AC8"/>
    <w:rsid w:val="00FD00FE"/>
    <w:rsid w:val="00FD0601"/>
    <w:rsid w:val="00FD1630"/>
    <w:rsid w:val="00FD2501"/>
    <w:rsid w:val="00FD2A62"/>
    <w:rsid w:val="00FD3006"/>
    <w:rsid w:val="00FD3EA2"/>
    <w:rsid w:val="00FD3FA0"/>
    <w:rsid w:val="00FD6D3F"/>
    <w:rsid w:val="00FD6E49"/>
    <w:rsid w:val="00FD7B29"/>
    <w:rsid w:val="00FE00D7"/>
    <w:rsid w:val="00FE25C4"/>
    <w:rsid w:val="00FE285B"/>
    <w:rsid w:val="00FE2FD8"/>
    <w:rsid w:val="00FE339E"/>
    <w:rsid w:val="00FE3B96"/>
    <w:rsid w:val="00FE3F31"/>
    <w:rsid w:val="00FE472B"/>
    <w:rsid w:val="00FE57B2"/>
    <w:rsid w:val="00FE63D2"/>
    <w:rsid w:val="00FE6718"/>
    <w:rsid w:val="00FE6B20"/>
    <w:rsid w:val="00FE7585"/>
    <w:rsid w:val="00FF042E"/>
    <w:rsid w:val="00FF11B4"/>
    <w:rsid w:val="00FF1789"/>
    <w:rsid w:val="00FF1B35"/>
    <w:rsid w:val="00FF201C"/>
    <w:rsid w:val="00FF216F"/>
    <w:rsid w:val="00FF25D9"/>
    <w:rsid w:val="00FF2FE1"/>
    <w:rsid w:val="00FF390B"/>
    <w:rsid w:val="00FF3DD2"/>
    <w:rsid w:val="00FF3EF4"/>
    <w:rsid w:val="00FF3F22"/>
    <w:rsid w:val="00FF4CEF"/>
    <w:rsid w:val="00FF4F8C"/>
    <w:rsid w:val="00FF5B65"/>
    <w:rsid w:val="00FF5F54"/>
    <w:rsid w:val="00FF6896"/>
    <w:rsid w:val="00FF7062"/>
    <w:rsid w:val="00FF717C"/>
    <w:rsid w:val="00FF71AC"/>
    <w:rsid w:val="00FF7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09EEC6"/>
  <w15:docId w15:val="{020C349F-87FD-4AA5-A863-F31DA8F5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0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C6093"/>
    <w:pPr>
      <w:jc w:val="center"/>
    </w:pPr>
    <w:rPr>
      <w:b/>
      <w:bCs/>
      <w:sz w:val="20"/>
      <w:szCs w:val="20"/>
    </w:rPr>
  </w:style>
  <w:style w:type="character" w:customStyle="1" w:styleId="TitleChar">
    <w:name w:val="Title Char"/>
    <w:basedOn w:val="DefaultParagraphFont"/>
    <w:link w:val="Title"/>
    <w:uiPriority w:val="99"/>
    <w:rsid w:val="00AC6093"/>
    <w:rPr>
      <w:b/>
      <w:bCs/>
    </w:rPr>
  </w:style>
  <w:style w:type="paragraph" w:styleId="BalloonText">
    <w:name w:val="Balloon Text"/>
    <w:basedOn w:val="Normal"/>
    <w:link w:val="BalloonTextChar"/>
    <w:rsid w:val="00AC6093"/>
    <w:rPr>
      <w:rFonts w:ascii="Tahoma" w:hAnsi="Tahoma" w:cs="Tahoma"/>
      <w:sz w:val="16"/>
      <w:szCs w:val="16"/>
    </w:rPr>
  </w:style>
  <w:style w:type="character" w:customStyle="1" w:styleId="BalloonTextChar">
    <w:name w:val="Balloon Text Char"/>
    <w:basedOn w:val="DefaultParagraphFont"/>
    <w:link w:val="BalloonText"/>
    <w:rsid w:val="00AC6093"/>
    <w:rPr>
      <w:rFonts w:ascii="Tahoma" w:hAnsi="Tahoma" w:cs="Tahoma"/>
      <w:sz w:val="16"/>
      <w:szCs w:val="16"/>
    </w:rPr>
  </w:style>
  <w:style w:type="paragraph" w:styleId="NormalWeb">
    <w:name w:val="Normal (Web)"/>
    <w:basedOn w:val="Normal"/>
    <w:link w:val="NormalWebChar"/>
    <w:uiPriority w:val="99"/>
    <w:rsid w:val="0007587D"/>
    <w:pPr>
      <w:autoSpaceDE w:val="0"/>
      <w:autoSpaceDN w:val="0"/>
      <w:adjustRightInd w:val="0"/>
      <w:spacing w:before="100" w:after="100"/>
    </w:pPr>
  </w:style>
  <w:style w:type="character" w:customStyle="1" w:styleId="NormalWebChar">
    <w:name w:val="Normal (Web) Char"/>
    <w:basedOn w:val="DefaultParagraphFont"/>
    <w:link w:val="NormalWeb"/>
    <w:uiPriority w:val="99"/>
    <w:locked/>
    <w:rsid w:val="0007587D"/>
    <w:rPr>
      <w:sz w:val="24"/>
      <w:szCs w:val="24"/>
    </w:rPr>
  </w:style>
  <w:style w:type="character" w:styleId="Hyperlink">
    <w:name w:val="Hyperlink"/>
    <w:basedOn w:val="DefaultParagraphFont"/>
    <w:uiPriority w:val="99"/>
    <w:rsid w:val="00904452"/>
    <w:rPr>
      <w:rFonts w:cs="Times New Roman"/>
      <w:color w:val="0000FF"/>
      <w:u w:val="single"/>
    </w:rPr>
  </w:style>
  <w:style w:type="paragraph" w:styleId="BodyText2">
    <w:name w:val="Body Text 2"/>
    <w:basedOn w:val="Normal"/>
    <w:link w:val="BodyText2Char"/>
    <w:uiPriority w:val="99"/>
    <w:rsid w:val="00904452"/>
    <w:pPr>
      <w:spacing w:after="120" w:line="480" w:lineRule="auto"/>
    </w:pPr>
  </w:style>
  <w:style w:type="character" w:customStyle="1" w:styleId="BodyText2Char">
    <w:name w:val="Body Text 2 Char"/>
    <w:basedOn w:val="DefaultParagraphFont"/>
    <w:link w:val="BodyText2"/>
    <w:uiPriority w:val="99"/>
    <w:rsid w:val="00904452"/>
    <w:rPr>
      <w:sz w:val="24"/>
      <w:szCs w:val="24"/>
    </w:rPr>
  </w:style>
  <w:style w:type="paragraph" w:styleId="Header">
    <w:name w:val="header"/>
    <w:basedOn w:val="Normal"/>
    <w:link w:val="HeaderChar"/>
    <w:rsid w:val="006F11EC"/>
    <w:pPr>
      <w:tabs>
        <w:tab w:val="center" w:pos="4680"/>
        <w:tab w:val="right" w:pos="9360"/>
      </w:tabs>
    </w:pPr>
  </w:style>
  <w:style w:type="character" w:customStyle="1" w:styleId="HeaderChar">
    <w:name w:val="Header Char"/>
    <w:basedOn w:val="DefaultParagraphFont"/>
    <w:link w:val="Header"/>
    <w:rsid w:val="006F11EC"/>
    <w:rPr>
      <w:sz w:val="24"/>
      <w:szCs w:val="24"/>
    </w:rPr>
  </w:style>
  <w:style w:type="paragraph" w:styleId="Footer">
    <w:name w:val="footer"/>
    <w:basedOn w:val="Normal"/>
    <w:link w:val="FooterChar"/>
    <w:uiPriority w:val="99"/>
    <w:rsid w:val="006F11EC"/>
    <w:pPr>
      <w:tabs>
        <w:tab w:val="center" w:pos="4680"/>
        <w:tab w:val="right" w:pos="9360"/>
      </w:tabs>
    </w:pPr>
  </w:style>
  <w:style w:type="character" w:customStyle="1" w:styleId="FooterChar">
    <w:name w:val="Footer Char"/>
    <w:basedOn w:val="DefaultParagraphFont"/>
    <w:link w:val="Footer"/>
    <w:uiPriority w:val="99"/>
    <w:rsid w:val="006F11EC"/>
    <w:rPr>
      <w:sz w:val="24"/>
      <w:szCs w:val="24"/>
    </w:rPr>
  </w:style>
  <w:style w:type="paragraph" w:styleId="BodyText">
    <w:name w:val="Body Text"/>
    <w:basedOn w:val="Normal"/>
    <w:link w:val="BodyTextChar"/>
    <w:rsid w:val="0032404D"/>
    <w:pPr>
      <w:spacing w:after="120"/>
    </w:pPr>
  </w:style>
  <w:style w:type="character" w:customStyle="1" w:styleId="BodyTextChar">
    <w:name w:val="Body Text Char"/>
    <w:basedOn w:val="DefaultParagraphFont"/>
    <w:link w:val="BodyText"/>
    <w:rsid w:val="0032404D"/>
    <w:rPr>
      <w:sz w:val="24"/>
      <w:szCs w:val="24"/>
    </w:rPr>
  </w:style>
  <w:style w:type="character" w:styleId="Strong">
    <w:name w:val="Strong"/>
    <w:basedOn w:val="DefaultParagraphFont"/>
    <w:uiPriority w:val="22"/>
    <w:qFormat/>
    <w:rsid w:val="00ED4E4B"/>
    <w:rPr>
      <w:b/>
      <w:bCs/>
    </w:rPr>
  </w:style>
  <w:style w:type="paragraph" w:styleId="ListParagraph">
    <w:name w:val="List Paragraph"/>
    <w:basedOn w:val="Normal"/>
    <w:uiPriority w:val="34"/>
    <w:qFormat/>
    <w:rsid w:val="00E030E5"/>
    <w:pPr>
      <w:ind w:left="720"/>
      <w:contextualSpacing/>
    </w:pPr>
  </w:style>
  <w:style w:type="paragraph" w:styleId="PlainText">
    <w:name w:val="Plain Text"/>
    <w:basedOn w:val="Normal"/>
    <w:link w:val="PlainTextChar"/>
    <w:uiPriority w:val="99"/>
    <w:unhideWhenUsed/>
    <w:rsid w:val="00444535"/>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44535"/>
    <w:rPr>
      <w:rFonts w:ascii="Calibri" w:eastAsiaTheme="minorHAnsi" w:hAnsi="Calibri" w:cs="Consolas"/>
      <w:sz w:val="22"/>
      <w:szCs w:val="21"/>
    </w:rPr>
  </w:style>
  <w:style w:type="paragraph" w:customStyle="1" w:styleId="BlockTextSgl">
    <w:name w:val="Block Text Sgl"/>
    <w:basedOn w:val="Normal"/>
    <w:qFormat/>
    <w:rsid w:val="002023A7"/>
    <w:pPr>
      <w:widowControl w:val="0"/>
      <w:shd w:val="clear" w:color="auto" w:fill="FFFFFF"/>
      <w:autoSpaceDE w:val="0"/>
      <w:autoSpaceDN w:val="0"/>
      <w:adjustRightInd w:val="0"/>
      <w:spacing w:after="240"/>
    </w:pPr>
    <w:rPr>
      <w:rFonts w:eastAsiaTheme="minorEastAsia"/>
    </w:rPr>
  </w:style>
  <w:style w:type="character" w:styleId="CommentReference">
    <w:name w:val="annotation reference"/>
    <w:basedOn w:val="DefaultParagraphFont"/>
    <w:semiHidden/>
    <w:unhideWhenUsed/>
    <w:rsid w:val="00AC21E7"/>
    <w:rPr>
      <w:sz w:val="16"/>
      <w:szCs w:val="16"/>
    </w:rPr>
  </w:style>
  <w:style w:type="paragraph" w:styleId="CommentText">
    <w:name w:val="annotation text"/>
    <w:basedOn w:val="Normal"/>
    <w:link w:val="CommentTextChar"/>
    <w:unhideWhenUsed/>
    <w:rsid w:val="00AC21E7"/>
    <w:rPr>
      <w:sz w:val="20"/>
      <w:szCs w:val="20"/>
    </w:rPr>
  </w:style>
  <w:style w:type="character" w:customStyle="1" w:styleId="CommentTextChar">
    <w:name w:val="Comment Text Char"/>
    <w:basedOn w:val="DefaultParagraphFont"/>
    <w:link w:val="CommentText"/>
    <w:rsid w:val="00AC21E7"/>
  </w:style>
  <w:style w:type="paragraph" w:styleId="CommentSubject">
    <w:name w:val="annotation subject"/>
    <w:basedOn w:val="CommentText"/>
    <w:next w:val="CommentText"/>
    <w:link w:val="CommentSubjectChar"/>
    <w:semiHidden/>
    <w:unhideWhenUsed/>
    <w:rsid w:val="00AC21E7"/>
    <w:rPr>
      <w:b/>
      <w:bCs/>
    </w:rPr>
  </w:style>
  <w:style w:type="character" w:customStyle="1" w:styleId="CommentSubjectChar">
    <w:name w:val="Comment Subject Char"/>
    <w:basedOn w:val="CommentTextChar"/>
    <w:link w:val="CommentSubject"/>
    <w:semiHidden/>
    <w:rsid w:val="00AC21E7"/>
    <w:rPr>
      <w:b/>
      <w:bCs/>
    </w:rPr>
  </w:style>
  <w:style w:type="paragraph" w:styleId="Subtitle">
    <w:name w:val="Subtitle"/>
    <w:basedOn w:val="Normal"/>
    <w:next w:val="Normal"/>
    <w:link w:val="SubtitleChar"/>
    <w:qFormat/>
    <w:rsid w:val="00AC035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C035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7B32A5"/>
    <w:rPr>
      <w:sz w:val="24"/>
      <w:szCs w:val="24"/>
    </w:rPr>
  </w:style>
  <w:style w:type="character" w:customStyle="1" w:styleId="strongchar">
    <w:name w:val="strong__char"/>
    <w:basedOn w:val="DefaultParagraphFont"/>
    <w:rsid w:val="00337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5313">
      <w:bodyDiv w:val="1"/>
      <w:marLeft w:val="0"/>
      <w:marRight w:val="0"/>
      <w:marTop w:val="0"/>
      <w:marBottom w:val="0"/>
      <w:divBdr>
        <w:top w:val="none" w:sz="0" w:space="0" w:color="auto"/>
        <w:left w:val="none" w:sz="0" w:space="0" w:color="auto"/>
        <w:bottom w:val="none" w:sz="0" w:space="0" w:color="auto"/>
        <w:right w:val="none" w:sz="0" w:space="0" w:color="auto"/>
      </w:divBdr>
    </w:div>
    <w:div w:id="91513140">
      <w:bodyDiv w:val="1"/>
      <w:marLeft w:val="0"/>
      <w:marRight w:val="0"/>
      <w:marTop w:val="0"/>
      <w:marBottom w:val="0"/>
      <w:divBdr>
        <w:top w:val="none" w:sz="0" w:space="0" w:color="auto"/>
        <w:left w:val="none" w:sz="0" w:space="0" w:color="auto"/>
        <w:bottom w:val="none" w:sz="0" w:space="0" w:color="auto"/>
        <w:right w:val="none" w:sz="0" w:space="0" w:color="auto"/>
      </w:divBdr>
    </w:div>
    <w:div w:id="131558488">
      <w:bodyDiv w:val="1"/>
      <w:marLeft w:val="0"/>
      <w:marRight w:val="0"/>
      <w:marTop w:val="0"/>
      <w:marBottom w:val="0"/>
      <w:divBdr>
        <w:top w:val="none" w:sz="0" w:space="0" w:color="auto"/>
        <w:left w:val="none" w:sz="0" w:space="0" w:color="auto"/>
        <w:bottom w:val="none" w:sz="0" w:space="0" w:color="auto"/>
        <w:right w:val="none" w:sz="0" w:space="0" w:color="auto"/>
      </w:divBdr>
    </w:div>
    <w:div w:id="176189669">
      <w:bodyDiv w:val="1"/>
      <w:marLeft w:val="0"/>
      <w:marRight w:val="0"/>
      <w:marTop w:val="0"/>
      <w:marBottom w:val="0"/>
      <w:divBdr>
        <w:top w:val="none" w:sz="0" w:space="0" w:color="auto"/>
        <w:left w:val="none" w:sz="0" w:space="0" w:color="auto"/>
        <w:bottom w:val="none" w:sz="0" w:space="0" w:color="auto"/>
        <w:right w:val="none" w:sz="0" w:space="0" w:color="auto"/>
      </w:divBdr>
    </w:div>
    <w:div w:id="354505146">
      <w:bodyDiv w:val="1"/>
      <w:marLeft w:val="0"/>
      <w:marRight w:val="0"/>
      <w:marTop w:val="0"/>
      <w:marBottom w:val="0"/>
      <w:divBdr>
        <w:top w:val="none" w:sz="0" w:space="0" w:color="auto"/>
        <w:left w:val="none" w:sz="0" w:space="0" w:color="auto"/>
        <w:bottom w:val="none" w:sz="0" w:space="0" w:color="auto"/>
        <w:right w:val="none" w:sz="0" w:space="0" w:color="auto"/>
      </w:divBdr>
      <w:divsChild>
        <w:div w:id="452985950">
          <w:marLeft w:val="274"/>
          <w:marRight w:val="0"/>
          <w:marTop w:val="240"/>
          <w:marBottom w:val="0"/>
          <w:divBdr>
            <w:top w:val="none" w:sz="0" w:space="0" w:color="auto"/>
            <w:left w:val="none" w:sz="0" w:space="0" w:color="auto"/>
            <w:bottom w:val="none" w:sz="0" w:space="0" w:color="auto"/>
            <w:right w:val="none" w:sz="0" w:space="0" w:color="auto"/>
          </w:divBdr>
        </w:div>
        <w:div w:id="579215938">
          <w:marLeft w:val="274"/>
          <w:marRight w:val="0"/>
          <w:marTop w:val="240"/>
          <w:marBottom w:val="0"/>
          <w:divBdr>
            <w:top w:val="none" w:sz="0" w:space="0" w:color="auto"/>
            <w:left w:val="none" w:sz="0" w:space="0" w:color="auto"/>
            <w:bottom w:val="none" w:sz="0" w:space="0" w:color="auto"/>
            <w:right w:val="none" w:sz="0" w:space="0" w:color="auto"/>
          </w:divBdr>
        </w:div>
      </w:divsChild>
    </w:div>
    <w:div w:id="373190903">
      <w:bodyDiv w:val="1"/>
      <w:marLeft w:val="0"/>
      <w:marRight w:val="0"/>
      <w:marTop w:val="0"/>
      <w:marBottom w:val="0"/>
      <w:divBdr>
        <w:top w:val="none" w:sz="0" w:space="0" w:color="auto"/>
        <w:left w:val="none" w:sz="0" w:space="0" w:color="auto"/>
        <w:bottom w:val="none" w:sz="0" w:space="0" w:color="auto"/>
        <w:right w:val="none" w:sz="0" w:space="0" w:color="auto"/>
      </w:divBdr>
    </w:div>
    <w:div w:id="380132242">
      <w:bodyDiv w:val="1"/>
      <w:marLeft w:val="0"/>
      <w:marRight w:val="0"/>
      <w:marTop w:val="0"/>
      <w:marBottom w:val="0"/>
      <w:divBdr>
        <w:top w:val="none" w:sz="0" w:space="0" w:color="auto"/>
        <w:left w:val="none" w:sz="0" w:space="0" w:color="auto"/>
        <w:bottom w:val="none" w:sz="0" w:space="0" w:color="auto"/>
        <w:right w:val="none" w:sz="0" w:space="0" w:color="auto"/>
      </w:divBdr>
    </w:div>
    <w:div w:id="405998715">
      <w:bodyDiv w:val="1"/>
      <w:marLeft w:val="0"/>
      <w:marRight w:val="0"/>
      <w:marTop w:val="0"/>
      <w:marBottom w:val="0"/>
      <w:divBdr>
        <w:top w:val="none" w:sz="0" w:space="0" w:color="auto"/>
        <w:left w:val="none" w:sz="0" w:space="0" w:color="auto"/>
        <w:bottom w:val="none" w:sz="0" w:space="0" w:color="auto"/>
        <w:right w:val="none" w:sz="0" w:space="0" w:color="auto"/>
      </w:divBdr>
    </w:div>
    <w:div w:id="423651606">
      <w:bodyDiv w:val="1"/>
      <w:marLeft w:val="0"/>
      <w:marRight w:val="0"/>
      <w:marTop w:val="0"/>
      <w:marBottom w:val="0"/>
      <w:divBdr>
        <w:top w:val="none" w:sz="0" w:space="0" w:color="auto"/>
        <w:left w:val="none" w:sz="0" w:space="0" w:color="auto"/>
        <w:bottom w:val="none" w:sz="0" w:space="0" w:color="auto"/>
        <w:right w:val="none" w:sz="0" w:space="0" w:color="auto"/>
      </w:divBdr>
    </w:div>
    <w:div w:id="449276514">
      <w:bodyDiv w:val="1"/>
      <w:marLeft w:val="0"/>
      <w:marRight w:val="0"/>
      <w:marTop w:val="0"/>
      <w:marBottom w:val="0"/>
      <w:divBdr>
        <w:top w:val="none" w:sz="0" w:space="0" w:color="auto"/>
        <w:left w:val="none" w:sz="0" w:space="0" w:color="auto"/>
        <w:bottom w:val="none" w:sz="0" w:space="0" w:color="auto"/>
        <w:right w:val="none" w:sz="0" w:space="0" w:color="auto"/>
      </w:divBdr>
    </w:div>
    <w:div w:id="449712676">
      <w:bodyDiv w:val="1"/>
      <w:marLeft w:val="0"/>
      <w:marRight w:val="0"/>
      <w:marTop w:val="0"/>
      <w:marBottom w:val="0"/>
      <w:divBdr>
        <w:top w:val="none" w:sz="0" w:space="0" w:color="auto"/>
        <w:left w:val="none" w:sz="0" w:space="0" w:color="auto"/>
        <w:bottom w:val="none" w:sz="0" w:space="0" w:color="auto"/>
        <w:right w:val="none" w:sz="0" w:space="0" w:color="auto"/>
      </w:divBdr>
    </w:div>
    <w:div w:id="479541805">
      <w:bodyDiv w:val="1"/>
      <w:marLeft w:val="0"/>
      <w:marRight w:val="0"/>
      <w:marTop w:val="0"/>
      <w:marBottom w:val="0"/>
      <w:divBdr>
        <w:top w:val="none" w:sz="0" w:space="0" w:color="auto"/>
        <w:left w:val="none" w:sz="0" w:space="0" w:color="auto"/>
        <w:bottom w:val="none" w:sz="0" w:space="0" w:color="auto"/>
        <w:right w:val="none" w:sz="0" w:space="0" w:color="auto"/>
      </w:divBdr>
    </w:div>
    <w:div w:id="564755411">
      <w:bodyDiv w:val="1"/>
      <w:marLeft w:val="0"/>
      <w:marRight w:val="0"/>
      <w:marTop w:val="0"/>
      <w:marBottom w:val="0"/>
      <w:divBdr>
        <w:top w:val="none" w:sz="0" w:space="0" w:color="auto"/>
        <w:left w:val="none" w:sz="0" w:space="0" w:color="auto"/>
        <w:bottom w:val="none" w:sz="0" w:space="0" w:color="auto"/>
        <w:right w:val="none" w:sz="0" w:space="0" w:color="auto"/>
      </w:divBdr>
    </w:div>
    <w:div w:id="731731605">
      <w:bodyDiv w:val="1"/>
      <w:marLeft w:val="0"/>
      <w:marRight w:val="0"/>
      <w:marTop w:val="0"/>
      <w:marBottom w:val="0"/>
      <w:divBdr>
        <w:top w:val="none" w:sz="0" w:space="0" w:color="auto"/>
        <w:left w:val="none" w:sz="0" w:space="0" w:color="auto"/>
        <w:bottom w:val="none" w:sz="0" w:space="0" w:color="auto"/>
        <w:right w:val="none" w:sz="0" w:space="0" w:color="auto"/>
      </w:divBdr>
    </w:div>
    <w:div w:id="745689287">
      <w:bodyDiv w:val="1"/>
      <w:marLeft w:val="0"/>
      <w:marRight w:val="0"/>
      <w:marTop w:val="0"/>
      <w:marBottom w:val="0"/>
      <w:divBdr>
        <w:top w:val="none" w:sz="0" w:space="0" w:color="auto"/>
        <w:left w:val="none" w:sz="0" w:space="0" w:color="auto"/>
        <w:bottom w:val="none" w:sz="0" w:space="0" w:color="auto"/>
        <w:right w:val="none" w:sz="0" w:space="0" w:color="auto"/>
      </w:divBdr>
    </w:div>
    <w:div w:id="841774707">
      <w:bodyDiv w:val="1"/>
      <w:marLeft w:val="0"/>
      <w:marRight w:val="0"/>
      <w:marTop w:val="0"/>
      <w:marBottom w:val="0"/>
      <w:divBdr>
        <w:top w:val="none" w:sz="0" w:space="0" w:color="auto"/>
        <w:left w:val="none" w:sz="0" w:space="0" w:color="auto"/>
        <w:bottom w:val="none" w:sz="0" w:space="0" w:color="auto"/>
        <w:right w:val="none" w:sz="0" w:space="0" w:color="auto"/>
      </w:divBdr>
    </w:div>
    <w:div w:id="895237706">
      <w:bodyDiv w:val="1"/>
      <w:marLeft w:val="0"/>
      <w:marRight w:val="0"/>
      <w:marTop w:val="0"/>
      <w:marBottom w:val="0"/>
      <w:divBdr>
        <w:top w:val="none" w:sz="0" w:space="0" w:color="auto"/>
        <w:left w:val="none" w:sz="0" w:space="0" w:color="auto"/>
        <w:bottom w:val="none" w:sz="0" w:space="0" w:color="auto"/>
        <w:right w:val="none" w:sz="0" w:space="0" w:color="auto"/>
      </w:divBdr>
    </w:div>
    <w:div w:id="904221152">
      <w:bodyDiv w:val="1"/>
      <w:marLeft w:val="0"/>
      <w:marRight w:val="0"/>
      <w:marTop w:val="0"/>
      <w:marBottom w:val="0"/>
      <w:divBdr>
        <w:top w:val="none" w:sz="0" w:space="0" w:color="auto"/>
        <w:left w:val="none" w:sz="0" w:space="0" w:color="auto"/>
        <w:bottom w:val="none" w:sz="0" w:space="0" w:color="auto"/>
        <w:right w:val="none" w:sz="0" w:space="0" w:color="auto"/>
      </w:divBdr>
    </w:div>
    <w:div w:id="926695343">
      <w:bodyDiv w:val="1"/>
      <w:marLeft w:val="0"/>
      <w:marRight w:val="0"/>
      <w:marTop w:val="0"/>
      <w:marBottom w:val="0"/>
      <w:divBdr>
        <w:top w:val="none" w:sz="0" w:space="0" w:color="auto"/>
        <w:left w:val="none" w:sz="0" w:space="0" w:color="auto"/>
        <w:bottom w:val="none" w:sz="0" w:space="0" w:color="auto"/>
        <w:right w:val="none" w:sz="0" w:space="0" w:color="auto"/>
      </w:divBdr>
    </w:div>
    <w:div w:id="946623667">
      <w:bodyDiv w:val="1"/>
      <w:marLeft w:val="0"/>
      <w:marRight w:val="0"/>
      <w:marTop w:val="0"/>
      <w:marBottom w:val="0"/>
      <w:divBdr>
        <w:top w:val="none" w:sz="0" w:space="0" w:color="auto"/>
        <w:left w:val="none" w:sz="0" w:space="0" w:color="auto"/>
        <w:bottom w:val="none" w:sz="0" w:space="0" w:color="auto"/>
        <w:right w:val="none" w:sz="0" w:space="0" w:color="auto"/>
      </w:divBdr>
    </w:div>
    <w:div w:id="1041202617">
      <w:bodyDiv w:val="1"/>
      <w:marLeft w:val="0"/>
      <w:marRight w:val="0"/>
      <w:marTop w:val="0"/>
      <w:marBottom w:val="0"/>
      <w:divBdr>
        <w:top w:val="none" w:sz="0" w:space="0" w:color="auto"/>
        <w:left w:val="none" w:sz="0" w:space="0" w:color="auto"/>
        <w:bottom w:val="none" w:sz="0" w:space="0" w:color="auto"/>
        <w:right w:val="none" w:sz="0" w:space="0" w:color="auto"/>
      </w:divBdr>
    </w:div>
    <w:div w:id="1243224346">
      <w:bodyDiv w:val="1"/>
      <w:marLeft w:val="0"/>
      <w:marRight w:val="0"/>
      <w:marTop w:val="0"/>
      <w:marBottom w:val="0"/>
      <w:divBdr>
        <w:top w:val="none" w:sz="0" w:space="0" w:color="auto"/>
        <w:left w:val="none" w:sz="0" w:space="0" w:color="auto"/>
        <w:bottom w:val="none" w:sz="0" w:space="0" w:color="auto"/>
        <w:right w:val="none" w:sz="0" w:space="0" w:color="auto"/>
      </w:divBdr>
    </w:div>
    <w:div w:id="1301232545">
      <w:bodyDiv w:val="1"/>
      <w:marLeft w:val="0"/>
      <w:marRight w:val="0"/>
      <w:marTop w:val="0"/>
      <w:marBottom w:val="0"/>
      <w:divBdr>
        <w:top w:val="none" w:sz="0" w:space="0" w:color="auto"/>
        <w:left w:val="none" w:sz="0" w:space="0" w:color="auto"/>
        <w:bottom w:val="none" w:sz="0" w:space="0" w:color="auto"/>
        <w:right w:val="none" w:sz="0" w:space="0" w:color="auto"/>
      </w:divBdr>
    </w:div>
    <w:div w:id="1417751482">
      <w:bodyDiv w:val="1"/>
      <w:marLeft w:val="0"/>
      <w:marRight w:val="0"/>
      <w:marTop w:val="0"/>
      <w:marBottom w:val="0"/>
      <w:divBdr>
        <w:top w:val="none" w:sz="0" w:space="0" w:color="auto"/>
        <w:left w:val="none" w:sz="0" w:space="0" w:color="auto"/>
        <w:bottom w:val="none" w:sz="0" w:space="0" w:color="auto"/>
        <w:right w:val="none" w:sz="0" w:space="0" w:color="auto"/>
      </w:divBdr>
    </w:div>
    <w:div w:id="1449398440">
      <w:bodyDiv w:val="1"/>
      <w:marLeft w:val="0"/>
      <w:marRight w:val="0"/>
      <w:marTop w:val="0"/>
      <w:marBottom w:val="0"/>
      <w:divBdr>
        <w:top w:val="none" w:sz="0" w:space="0" w:color="auto"/>
        <w:left w:val="none" w:sz="0" w:space="0" w:color="auto"/>
        <w:bottom w:val="none" w:sz="0" w:space="0" w:color="auto"/>
        <w:right w:val="none" w:sz="0" w:space="0" w:color="auto"/>
      </w:divBdr>
    </w:div>
    <w:div w:id="1489201140">
      <w:bodyDiv w:val="1"/>
      <w:marLeft w:val="0"/>
      <w:marRight w:val="0"/>
      <w:marTop w:val="0"/>
      <w:marBottom w:val="0"/>
      <w:divBdr>
        <w:top w:val="none" w:sz="0" w:space="0" w:color="auto"/>
        <w:left w:val="none" w:sz="0" w:space="0" w:color="auto"/>
        <w:bottom w:val="none" w:sz="0" w:space="0" w:color="auto"/>
        <w:right w:val="none" w:sz="0" w:space="0" w:color="auto"/>
      </w:divBdr>
    </w:div>
    <w:div w:id="1612319471">
      <w:bodyDiv w:val="1"/>
      <w:marLeft w:val="0"/>
      <w:marRight w:val="0"/>
      <w:marTop w:val="0"/>
      <w:marBottom w:val="0"/>
      <w:divBdr>
        <w:top w:val="none" w:sz="0" w:space="0" w:color="auto"/>
        <w:left w:val="none" w:sz="0" w:space="0" w:color="auto"/>
        <w:bottom w:val="none" w:sz="0" w:space="0" w:color="auto"/>
        <w:right w:val="none" w:sz="0" w:space="0" w:color="auto"/>
      </w:divBdr>
      <w:divsChild>
        <w:div w:id="1375734884">
          <w:marLeft w:val="0"/>
          <w:marRight w:val="0"/>
          <w:marTop w:val="0"/>
          <w:marBottom w:val="0"/>
          <w:divBdr>
            <w:top w:val="none" w:sz="0" w:space="0" w:color="auto"/>
            <w:left w:val="none" w:sz="0" w:space="0" w:color="auto"/>
            <w:bottom w:val="none" w:sz="0" w:space="0" w:color="auto"/>
            <w:right w:val="none" w:sz="0" w:space="0" w:color="auto"/>
          </w:divBdr>
          <w:divsChild>
            <w:div w:id="1873302366">
              <w:marLeft w:val="0"/>
              <w:marRight w:val="0"/>
              <w:marTop w:val="0"/>
              <w:marBottom w:val="0"/>
              <w:divBdr>
                <w:top w:val="none" w:sz="0" w:space="0" w:color="auto"/>
                <w:left w:val="none" w:sz="0" w:space="0" w:color="auto"/>
                <w:bottom w:val="none" w:sz="0" w:space="0" w:color="auto"/>
                <w:right w:val="none" w:sz="0" w:space="0" w:color="auto"/>
              </w:divBdr>
              <w:divsChild>
                <w:div w:id="1157266627">
                  <w:marLeft w:val="0"/>
                  <w:marRight w:val="0"/>
                  <w:marTop w:val="0"/>
                  <w:marBottom w:val="0"/>
                  <w:divBdr>
                    <w:top w:val="none" w:sz="0" w:space="0" w:color="auto"/>
                    <w:left w:val="none" w:sz="0" w:space="0" w:color="auto"/>
                    <w:bottom w:val="none" w:sz="0" w:space="0" w:color="auto"/>
                    <w:right w:val="none" w:sz="0" w:space="0" w:color="auto"/>
                  </w:divBdr>
                  <w:divsChild>
                    <w:div w:id="1676834469">
                      <w:marLeft w:val="0"/>
                      <w:marRight w:val="0"/>
                      <w:marTop w:val="0"/>
                      <w:marBottom w:val="0"/>
                      <w:divBdr>
                        <w:top w:val="none" w:sz="0" w:space="0" w:color="auto"/>
                        <w:left w:val="none" w:sz="0" w:space="0" w:color="auto"/>
                        <w:bottom w:val="none" w:sz="0" w:space="0" w:color="auto"/>
                        <w:right w:val="none" w:sz="0" w:space="0" w:color="auto"/>
                      </w:divBdr>
                      <w:divsChild>
                        <w:div w:id="6790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418175">
      <w:bodyDiv w:val="1"/>
      <w:marLeft w:val="0"/>
      <w:marRight w:val="0"/>
      <w:marTop w:val="0"/>
      <w:marBottom w:val="0"/>
      <w:divBdr>
        <w:top w:val="none" w:sz="0" w:space="0" w:color="auto"/>
        <w:left w:val="none" w:sz="0" w:space="0" w:color="auto"/>
        <w:bottom w:val="none" w:sz="0" w:space="0" w:color="auto"/>
        <w:right w:val="none" w:sz="0" w:space="0" w:color="auto"/>
      </w:divBdr>
    </w:div>
    <w:div w:id="1652758604">
      <w:bodyDiv w:val="1"/>
      <w:marLeft w:val="0"/>
      <w:marRight w:val="0"/>
      <w:marTop w:val="0"/>
      <w:marBottom w:val="0"/>
      <w:divBdr>
        <w:top w:val="none" w:sz="0" w:space="0" w:color="auto"/>
        <w:left w:val="none" w:sz="0" w:space="0" w:color="auto"/>
        <w:bottom w:val="none" w:sz="0" w:space="0" w:color="auto"/>
        <w:right w:val="none" w:sz="0" w:space="0" w:color="auto"/>
      </w:divBdr>
    </w:div>
    <w:div w:id="1685012647">
      <w:bodyDiv w:val="1"/>
      <w:marLeft w:val="0"/>
      <w:marRight w:val="0"/>
      <w:marTop w:val="0"/>
      <w:marBottom w:val="0"/>
      <w:divBdr>
        <w:top w:val="none" w:sz="0" w:space="0" w:color="auto"/>
        <w:left w:val="none" w:sz="0" w:space="0" w:color="auto"/>
        <w:bottom w:val="none" w:sz="0" w:space="0" w:color="auto"/>
        <w:right w:val="none" w:sz="0" w:space="0" w:color="auto"/>
      </w:divBdr>
    </w:div>
    <w:div w:id="1719164802">
      <w:bodyDiv w:val="1"/>
      <w:marLeft w:val="0"/>
      <w:marRight w:val="0"/>
      <w:marTop w:val="0"/>
      <w:marBottom w:val="0"/>
      <w:divBdr>
        <w:top w:val="none" w:sz="0" w:space="0" w:color="auto"/>
        <w:left w:val="none" w:sz="0" w:space="0" w:color="auto"/>
        <w:bottom w:val="none" w:sz="0" w:space="0" w:color="auto"/>
        <w:right w:val="none" w:sz="0" w:space="0" w:color="auto"/>
      </w:divBdr>
    </w:div>
    <w:div w:id="1763640807">
      <w:bodyDiv w:val="1"/>
      <w:marLeft w:val="0"/>
      <w:marRight w:val="0"/>
      <w:marTop w:val="0"/>
      <w:marBottom w:val="0"/>
      <w:divBdr>
        <w:top w:val="none" w:sz="0" w:space="0" w:color="auto"/>
        <w:left w:val="none" w:sz="0" w:space="0" w:color="auto"/>
        <w:bottom w:val="none" w:sz="0" w:space="0" w:color="auto"/>
        <w:right w:val="none" w:sz="0" w:space="0" w:color="auto"/>
      </w:divBdr>
    </w:div>
    <w:div w:id="1785227812">
      <w:bodyDiv w:val="1"/>
      <w:marLeft w:val="0"/>
      <w:marRight w:val="0"/>
      <w:marTop w:val="0"/>
      <w:marBottom w:val="0"/>
      <w:divBdr>
        <w:top w:val="none" w:sz="0" w:space="0" w:color="auto"/>
        <w:left w:val="none" w:sz="0" w:space="0" w:color="auto"/>
        <w:bottom w:val="none" w:sz="0" w:space="0" w:color="auto"/>
        <w:right w:val="none" w:sz="0" w:space="0" w:color="auto"/>
      </w:divBdr>
    </w:div>
    <w:div w:id="1792086174">
      <w:bodyDiv w:val="1"/>
      <w:marLeft w:val="0"/>
      <w:marRight w:val="0"/>
      <w:marTop w:val="0"/>
      <w:marBottom w:val="0"/>
      <w:divBdr>
        <w:top w:val="none" w:sz="0" w:space="0" w:color="auto"/>
        <w:left w:val="none" w:sz="0" w:space="0" w:color="auto"/>
        <w:bottom w:val="none" w:sz="0" w:space="0" w:color="auto"/>
        <w:right w:val="none" w:sz="0" w:space="0" w:color="auto"/>
      </w:divBdr>
    </w:div>
    <w:div w:id="1839078932">
      <w:bodyDiv w:val="1"/>
      <w:marLeft w:val="0"/>
      <w:marRight w:val="0"/>
      <w:marTop w:val="0"/>
      <w:marBottom w:val="0"/>
      <w:divBdr>
        <w:top w:val="none" w:sz="0" w:space="0" w:color="auto"/>
        <w:left w:val="none" w:sz="0" w:space="0" w:color="auto"/>
        <w:bottom w:val="none" w:sz="0" w:space="0" w:color="auto"/>
        <w:right w:val="none" w:sz="0" w:space="0" w:color="auto"/>
      </w:divBdr>
    </w:div>
    <w:div w:id="1992710025">
      <w:bodyDiv w:val="1"/>
      <w:marLeft w:val="0"/>
      <w:marRight w:val="0"/>
      <w:marTop w:val="0"/>
      <w:marBottom w:val="0"/>
      <w:divBdr>
        <w:top w:val="none" w:sz="0" w:space="0" w:color="auto"/>
        <w:left w:val="none" w:sz="0" w:space="0" w:color="auto"/>
        <w:bottom w:val="none" w:sz="0" w:space="0" w:color="auto"/>
        <w:right w:val="none" w:sz="0" w:space="0" w:color="auto"/>
      </w:divBdr>
    </w:div>
    <w:div w:id="2016806066">
      <w:bodyDiv w:val="1"/>
      <w:marLeft w:val="0"/>
      <w:marRight w:val="0"/>
      <w:marTop w:val="0"/>
      <w:marBottom w:val="0"/>
      <w:divBdr>
        <w:top w:val="none" w:sz="0" w:space="0" w:color="auto"/>
        <w:left w:val="none" w:sz="0" w:space="0" w:color="auto"/>
        <w:bottom w:val="none" w:sz="0" w:space="0" w:color="auto"/>
        <w:right w:val="none" w:sz="0" w:space="0" w:color="auto"/>
      </w:divBdr>
    </w:div>
    <w:div w:id="2026202950">
      <w:bodyDiv w:val="1"/>
      <w:marLeft w:val="0"/>
      <w:marRight w:val="0"/>
      <w:marTop w:val="0"/>
      <w:marBottom w:val="0"/>
      <w:divBdr>
        <w:top w:val="none" w:sz="0" w:space="0" w:color="auto"/>
        <w:left w:val="none" w:sz="0" w:space="0" w:color="auto"/>
        <w:bottom w:val="none" w:sz="0" w:space="0" w:color="auto"/>
        <w:right w:val="none" w:sz="0" w:space="0" w:color="auto"/>
      </w:divBdr>
    </w:div>
    <w:div w:id="2030333583">
      <w:bodyDiv w:val="1"/>
      <w:marLeft w:val="0"/>
      <w:marRight w:val="0"/>
      <w:marTop w:val="0"/>
      <w:marBottom w:val="0"/>
      <w:divBdr>
        <w:top w:val="none" w:sz="0" w:space="0" w:color="auto"/>
        <w:left w:val="none" w:sz="0" w:space="0" w:color="auto"/>
        <w:bottom w:val="none" w:sz="0" w:space="0" w:color="auto"/>
        <w:right w:val="none" w:sz="0" w:space="0" w:color="auto"/>
      </w:divBdr>
    </w:div>
    <w:div w:id="2079859936">
      <w:bodyDiv w:val="1"/>
      <w:marLeft w:val="0"/>
      <w:marRight w:val="0"/>
      <w:marTop w:val="0"/>
      <w:marBottom w:val="0"/>
      <w:divBdr>
        <w:top w:val="none" w:sz="0" w:space="0" w:color="auto"/>
        <w:left w:val="none" w:sz="0" w:space="0" w:color="auto"/>
        <w:bottom w:val="none" w:sz="0" w:space="0" w:color="auto"/>
        <w:right w:val="none" w:sz="0" w:space="0" w:color="auto"/>
      </w:divBdr>
    </w:div>
    <w:div w:id="2094206772">
      <w:bodyDiv w:val="1"/>
      <w:marLeft w:val="0"/>
      <w:marRight w:val="0"/>
      <w:marTop w:val="0"/>
      <w:marBottom w:val="0"/>
      <w:divBdr>
        <w:top w:val="none" w:sz="0" w:space="0" w:color="auto"/>
        <w:left w:val="none" w:sz="0" w:space="0" w:color="auto"/>
        <w:bottom w:val="none" w:sz="0" w:space="0" w:color="auto"/>
        <w:right w:val="none" w:sz="0" w:space="0" w:color="auto"/>
      </w:divBdr>
    </w:div>
    <w:div w:id="21450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customXml" Target="../customXml/item4.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mohegangaming.com"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201F7F016B03429D55BCBEC32E2CC1" ma:contentTypeVersion="15" ma:contentTypeDescription="Create a new document." ma:contentTypeScope="" ma:versionID="c98feafeced3497c4248957a5f131158">
  <xsd:schema xmlns:xsd="http://www.w3.org/2001/XMLSchema" xmlns:xs="http://www.w3.org/2001/XMLSchema" xmlns:p="http://schemas.microsoft.com/office/2006/metadata/properties" xmlns:ns2="e15ab05a-c43c-41fa-a8b3-b169d76074fe" xmlns:ns3="0eda34ef-d6e0-4dee-9e71-44a418ee097d" targetNamespace="http://schemas.microsoft.com/office/2006/metadata/properties" ma:root="true" ma:fieldsID="eda368c354656c2bcbeb2050f97e91aa" ns2:_="" ns3:_="">
    <xsd:import namespace="e15ab05a-c43c-41fa-a8b3-b169d76074fe"/>
    <xsd:import namespace="0eda34ef-d6e0-4dee-9e71-44a418ee09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b05a-c43c-41fa-a8b3-b169d76074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f1d400e-2fc4-4793-9864-6127dfd391db}" ma:internalName="TaxCatchAll" ma:showField="CatchAllData" ma:web="e15ab05a-c43c-41fa-a8b3-b169d76074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da34ef-d6e0-4dee-9e71-44a418ee09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b099faf-8f9d-4e63-8d6f-afb22205075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da34ef-d6e0-4dee-9e71-44a418ee097d">
      <Terms xmlns="http://schemas.microsoft.com/office/infopath/2007/PartnerControls"/>
    </lcf76f155ced4ddcb4097134ff3c332f>
    <TaxCatchAll xmlns="e15ab05a-c43c-41fa-a8b3-b169d76074fe" xsi:nil="true"/>
  </documentManagement>
</p:properties>
</file>

<file path=customXml/itemProps1.xml><?xml version="1.0" encoding="utf-8"?>
<ds:datastoreItem xmlns:ds="http://schemas.openxmlformats.org/officeDocument/2006/customXml" ds:itemID="{08DC2A83-4AF3-49AD-8CAC-CFFD3D292A46}">
  <ds:schemaRefs>
    <ds:schemaRef ds:uri="http://schemas.openxmlformats.org/officeDocument/2006/bibliography"/>
  </ds:schemaRefs>
</ds:datastoreItem>
</file>

<file path=customXml/itemProps2.xml><?xml version="1.0" encoding="utf-8"?>
<ds:datastoreItem xmlns:ds="http://schemas.openxmlformats.org/officeDocument/2006/customXml" ds:itemID="{DD9D1CA8-CF64-42D5-9456-8B38603ED09A}"/>
</file>

<file path=customXml/itemProps3.xml><?xml version="1.0" encoding="utf-8"?>
<ds:datastoreItem xmlns:ds="http://schemas.openxmlformats.org/officeDocument/2006/customXml" ds:itemID="{64F2388E-7E34-4979-8638-551840808871}"/>
</file>

<file path=customXml/itemProps4.xml><?xml version="1.0" encoding="utf-8"?>
<ds:datastoreItem xmlns:ds="http://schemas.openxmlformats.org/officeDocument/2006/customXml" ds:itemID="{D559B5F4-FEB6-4567-9342-0CD9B76F49FC}"/>
</file>

<file path=docProps/app.xml><?xml version="1.0" encoding="utf-8"?>
<Properties xmlns="http://schemas.openxmlformats.org/officeDocument/2006/extended-properties" xmlns:vt="http://schemas.openxmlformats.org/officeDocument/2006/docPropsVTypes">
  <Template>Normal</Template>
  <TotalTime>0</TotalTime>
  <Pages>9</Pages>
  <Words>2250</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Mohegan Sun Casino</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MTGA</dc:creator>
  <cp:keywords/>
  <dc:description/>
  <cp:lastModifiedBy>Anderson, Carol</cp:lastModifiedBy>
  <cp:revision>2</cp:revision>
  <cp:lastPrinted>2021-05-11T23:47:00Z</cp:lastPrinted>
  <dcterms:created xsi:type="dcterms:W3CDTF">2021-05-12T18:31:00Z</dcterms:created>
  <dcterms:modified xsi:type="dcterms:W3CDTF">2021-05-12T18:31:00Z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0x0101005F201F7F016B03429D55BCBEC32E2CC1</vt:lpwstr>
  </property>
</Properties>
</file>